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Strategic Solution Paths</w:t>
      </w:r>
    </w:p>
    <w:p>
      <w:r>
        <w:rPr>
          <w:rFonts w:ascii="Nunito" w:hAnsi="Nunito" w:eastAsia="Nunito" w:cs="Nunito"/>
          <w:i/>
          <w:color w:val="666666"/>
          <w:sz w:val="24"/>
        </w:rPr>
        <w:t>Defensible recommendations and marking red lines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Document reference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GBF Case Key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ANSWER KEY - FACILITATOR ONLY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There is no single correct strategy. Reward evidence-based reasoning. The paths below are strong; weak teams pick a slogan and ignore contradicting evidence.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Path A - Depth before scale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Thesis: Pause expansion; fix Dong Nai and employer quality; negotiate a smaller quality-focused VPBank grant.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Strengths: Honest about D-02; addresses EP-02, ST-05, BN-02; sustainable operations.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Risks to probe in Q&amp;A: May leave funding on the table; must convince VPBank with a credible theory of change (DN-01).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Path B - Conditional scale (most common strong answer)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Thesis: Accept VPBank but gate expansion behind quality milestones; fix Dong Nai first, then Long An.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Strengths: Balances donor pressure and field reality; stages risk; keeps the grant.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Risks to probe in Q&amp;A: Execution-heavy; requires M&amp;E discipline teams must propose credibly.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Path C - Employer-led pivot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Thesis: Audit and certify employers; place only with vetted partners; make quality the brand.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Strengths: Answers EP-02 and ST-05 directly; differentiates from YouthWorks on outcomes not speed.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Risks to probe in Q&amp;A: Slower growth; depends on employer cooperation.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Path D - Digital hybrid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Thesis: Grow Pathway Digital for reach; keep Skills Forward for depth and placement quality.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Strengths: Lower unit cost (D-12); addresses waitlist pressure.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Risks to probe in Q&amp;A: Digital placement weaker; equity risk (BN-01); only strong with explicit caveats.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Red lines - mark down if recommended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Reporting placement at 60 days as the primary metric (contradicts D-03, DN-01).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Replacing paid caseworkers with volunteers (contradicts VR-01).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National or provincial scale with no plan to fix Dong Nai.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Cherry-picking easier-to-place youth to hit 65% without acknowledging the cost.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Treating D-08 board emails as verified fact.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Claiming attendance causes placement without naming confounders.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Workflow A citing operational numbers without Request / Findings IDs.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Workflow B sharing the raw workbook with A.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