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Solution Paths</w:t>
      </w:r>
    </w:p>
    <w:p>
      <w:r>
        <w:rPr>
          <w:rFonts w:ascii="Nunito" w:hAnsi="Nunito" w:eastAsia="Nunito" w:cs="Nunito"/>
          <w:i/>
          <w:color w:val="666666"/>
          <w:sz w:val="24"/>
        </w:rPr>
        <w:t>CONFIDENTIAL - there is no single correct answer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Reward reasoning, not a particular destination. Strong teams name what their preferred path costs. Weak answers pick one slogan and ignore the evidence against it.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A - Depth before scale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Pause expansion, fix Dong Nai and employer quality, negotiate a smaller quality-focused VPBank grant.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Honest about D-02; addresses EP-02 and ST-05; sustainable.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probe: May leave money on the table; must convince VPBank (see DN-01).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B - Conditional scale (most common strong answer)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Accept VPBank but gate expansion behind quality milestones; fix Dong Nai first, then Long An.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Balances DN-01 and BD-01; keeps the grant; stages risk.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probe: Execution-heavy; needs credible M&amp;E to hold the line.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C - Employer-led pivot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Certify and audit employers; place only with vetted partners; make quality the brand.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Directly answers EP-02, ST-05, BN-02; differentiates from YouthWorks.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probe: Slower growth; needs employer buy-in.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D - Digital hybrid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Grow Pathway Digital for reach, keep Skills Forward for depth.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Lower unit cost (D-12); serves waitlist faster.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probe: Digital placement is weaker; equity risk (BN-01 has no laptop); only valid with caveats.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Red lines (mark down if crossed)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Recommending 60-day reporting as the primary metric to look better.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Replacing caseworkers with volunteers (contradicts VR-01).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National scale with no fix for Dong Nai.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Cherry-picking easier-to-place youth without acknowledging the cost.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Workflow A citing 'the dataset' without Request / Findings IDs.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Workflow B sharing the raw workbook with A.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