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exend" w:hAnsi="Lexend" w:eastAsia="Lexend" w:cs="Lexend"/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rFonts w:ascii="Lexend" w:hAnsi="Lexend" w:eastAsia="Lexend" w:cs="Lexend"/>
          <w:b/>
          <w:color w:val="1B2A4A"/>
          <w:sz w:val="48"/>
        </w:rPr>
        <w:t>Data Task Solutions</w:t>
      </w:r>
    </w:p>
    <w:p>
      <w:r>
        <w:rPr>
          <w:rFonts w:ascii="Nunito" w:hAnsi="Nunito" w:eastAsia="Nunito" w:cs="Nunito"/>
          <w:i/>
          <w:color w:val="666666"/>
          <w:sz w:val="24"/>
        </w:rPr>
        <w:t>CONFIDENTIAL - expected findings and pitfalls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Document reference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Facilitator pack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FACILITATOR ONLY - do not distribute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3.1 | July-September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Workflow B should find these. Workflow A should learn material issues only through Findings Memos, not by opening the workbook.</w:t>
      </w:r>
    </w:p>
    <w:p>
      <w:pPr>
        <w:pStyle w:val="Heading1"/>
      </w:pPr>
      <w:r>
        <w:rPr>
          <w:rFonts w:ascii="Lexend" w:hAnsi="Lexend" w:eastAsia="Lexend" w:cs="Lexend"/>
          <w:color w:val="1B2A4A"/>
        </w:rPr>
        <w:t>DB-1 Data quality - what B should find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Duplicate beneficiary IDs (built in) - de-duplicate before counting.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placed_90d coded as Y/Yes/1/N/No/0/blank - normalise.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Mixed date formats across tables.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A wage outlier (obvious typo) on one record.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Dong Nai Q3 costs double-entered in hub_costs_2025.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Hours logged against an inactive mentor in volunteer_hours.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'HCMC' vs 'Ho Chi Minh City' inconsistency.</w:t>
      </w:r>
    </w:p>
    <w:p>
      <w:pPr>
        <w:pStyle w:val="Heading1"/>
      </w:pPr>
      <w:r>
        <w:rPr>
          <w:rFonts w:ascii="Lexend" w:hAnsi="Lexend" w:eastAsia="Lexend" w:cs="Lexend"/>
          <w:color w:val="1B2A4A"/>
        </w:rPr>
        <w:t>DB-2/DB-3 expected patterns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Dong Nai placement clearly below HCMC hubs.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Formal-only rate roughly 8 points below the broad rate (aligns with ST-02).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Higher attendance associates with placement - but confounded by transport/motivation.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Disability placement materially below overall (aligns with ST-03).</w:t>
      </w:r>
    </w:p>
    <w:p>
      <w:pPr>
        <w:pStyle w:val="Heading1"/>
      </w:pPr>
      <w:r>
        <w:rPr>
          <w:rFonts w:ascii="Lexend" w:hAnsi="Lexend" w:eastAsia="Lexend" w:cs="Lexend"/>
          <w:color w:val="1B2A4A"/>
        </w:rPr>
        <w:t>DB-4 / DB-5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Mentor hours weakly associate with completion; do not overclaim causation.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Aggressive growth struggles to hold 65% honestly without selection pressure - the efficiency/ethics tension teams should discover.</w:t>
      </w:r>
    </w:p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unito" w:hAnsi="Nunito" w:eastAsia="Nunito" w:cs="Nunito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