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Debrief Guide &amp; FAQ</w:t>
      </w:r>
    </w:p>
    <w:p>
      <w:r>
        <w:rPr>
          <w:rFonts w:ascii="Nunito" w:hAnsi="Nunito" w:eastAsia="Nunito" w:cs="Nunito"/>
          <w:i/>
          <w:color w:val="666666"/>
          <w:sz w:val="24"/>
        </w:rPr>
        <w:t>Run a 90-minute debrief; answer common questions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1"/>
      </w:pPr>
      <w:r>
        <w:rPr>
          <w:rFonts w:ascii="Lexend" w:hAnsi="Lexend" w:eastAsia="Lexend" w:cs="Lexend"/>
          <w:color w:val="1B2A4A"/>
        </w:rPr>
        <w:t>Working space and submission (tell teams at kickoff)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Shared workspace: Google Drive / Google Workspace folder per team (or Microsoft 365 if the cohort is assigned that stack).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Submission: upload named file to Drive, then submit the link via the weekly Google Form (Buddy shares URL). Email is backup only.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File naming: TeamShortName_Owner_DeliverableCode_Version.ext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Package download: GitHub repo -&gt; Code -&gt; Download ZIP.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Debrief flow (90 minutes)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Team reflection (15 min): what surprised you?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Evidence round (20 min): each team names the finding that changed their mind (ideally via a Findings Memo, not a slide of pivots).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Trade-off round (20 min): what did your recommendation cost, and for whom? (Only then may facilitators name efficiency versus ethics if it still has not surfaced.)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Reveal (20 min): show the multiple valid paths; there was no single answer.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Skills forward (15 min): one thing each person will practise next.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Frequently asked questions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Can Workflow A have the Excel file?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No. Asking what to request is part of the exercise. Buddies must not share it.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Can we collect more data or interview real NGO staff?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No. GBF and all named parties are fictional for this Impact Case. Everything required is in the pack. Managing incomplete information is part of the exercise.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How do we confirm the handoff online?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Tick the checklist boxes, type full name and date. A Drive comment or sheet tick is enough - no wet signature.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Which placement rate is correct?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Both are 'correct' under their definitions. The learning point is to state the definition and report honestly (D-01 footnote vs ST-02).</w:t>
      </w:r>
    </w:p>
    <w:p>
      <w:pPr>
        <w:spacing w:after="120"/>
      </w:pPr>
      <w:r>
        <w:rPr>
          <w:rFonts w:ascii="Nunito" w:hAnsi="Nunito" w:eastAsia="Nunito" w:cs="Nunito"/>
          <w:b/>
          <w:i w:val="0"/>
          <w:color w:val="222222"/>
          <w:sz w:val="22"/>
        </w:rPr>
        <w:t>Is there a right recommendation?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No. Several paths are defensible (see Solution Paths). Judgement and evidence win.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