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Lexend" w:hAnsi="Lexend" w:eastAsia="Lexend" w:cs="Lexend"/>
          <w:b/>
          <w:color w:val="007A87"/>
          <w:sz w:val="24"/>
        </w:rPr>
        <w:t>Momentum Programme   |   Scaling with Integrity</w:t>
      </w:r>
    </w:p>
    <w:p>
      <w:pPr>
        <w:spacing w:after="40"/>
      </w:pPr>
      <w:r>
        <w:rPr>
          <w:rFonts w:ascii="Lexend" w:hAnsi="Lexend" w:eastAsia="Lexend" w:cs="Lexend"/>
          <w:b/>
          <w:color w:val="1B2A4A"/>
          <w:sz w:val="48"/>
        </w:rPr>
        <w:t>Empathy &amp; Journey Map</w:t>
      </w:r>
    </w:p>
    <w:p>
      <w:r>
        <w:rPr>
          <w:rFonts w:ascii="Nunito" w:hAnsi="Nunito" w:eastAsia="Nunito" w:cs="Nunito"/>
          <w:i/>
          <w:color w:val="666666"/>
          <w:sz w:val="24"/>
        </w:rPr>
        <w:t>Template - complete and export to PDF before submission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2592"/>
          </w:tcPr>
          <w:p>
            <w:r>
              <w:rPr>
                <w:rFonts w:ascii="Nunito" w:hAnsi="Nunito" w:eastAsia="Nunito" w:cs="Nunito"/>
                <w:b/>
                <w:color w:val="1B2A4A"/>
                <w:sz w:val="20"/>
              </w:rPr>
              <w:t>Client</w:t>
            </w:r>
          </w:p>
        </w:tc>
        <w:tc>
          <w:tcPr>
            <w:tcW w:type="dxa" w:w="6624"/>
          </w:tcPr>
          <w:p>
            <w:r>
              <w:rPr>
                <w:rFonts w:ascii="Nunito" w:hAnsi="Nunito" w:eastAsia="Nunito" w:cs="Nunito"/>
                <w:color w:val="222222"/>
                <w:sz w:val="20"/>
              </w:rPr>
              <w:t>Generation Bridge Foundation</w:t>
            </w:r>
          </w:p>
        </w:tc>
      </w:tr>
      <w:tr>
        <w:tc>
          <w:tcPr>
            <w:tcW w:type="dxa" w:w="2592"/>
          </w:tcPr>
          <w:p>
            <w:r>
              <w:rPr>
                <w:rFonts w:ascii="Nunito" w:hAnsi="Nunito" w:eastAsia="Nunito" w:cs="Nunito"/>
                <w:b/>
                <w:color w:val="1B2A4A"/>
                <w:sz w:val="20"/>
              </w:rPr>
              <w:t>Classification</w:t>
            </w:r>
          </w:p>
        </w:tc>
        <w:tc>
          <w:tcPr>
            <w:tcW w:type="dxa" w:w="6624"/>
          </w:tcPr>
          <w:p>
            <w:r>
              <w:rPr>
                <w:rFonts w:ascii="Nunito" w:hAnsi="Nunito" w:eastAsia="Nunito" w:cs="Nunito"/>
                <w:color w:val="222222"/>
                <w:sz w:val="20"/>
              </w:rPr>
              <w:t>Participant template</w:t>
            </w:r>
          </w:p>
        </w:tc>
      </w:tr>
      <w:tr>
        <w:tc>
          <w:tcPr>
            <w:tcW w:type="dxa" w:w="2592"/>
          </w:tcPr>
          <w:p>
            <w:r>
              <w:rPr>
                <w:rFonts w:ascii="Nunito" w:hAnsi="Nunito" w:eastAsia="Nunito" w:cs="Nunito"/>
                <w:b/>
                <w:color w:val="1B2A4A"/>
                <w:sz w:val="20"/>
              </w:rPr>
              <w:t>Version</w:t>
            </w:r>
          </w:p>
        </w:tc>
        <w:tc>
          <w:tcPr>
            <w:tcW w:type="dxa" w:w="6624"/>
          </w:tcPr>
          <w:p>
            <w:r>
              <w:rPr>
                <w:rFonts w:ascii="Nunito" w:hAnsi="Nunito" w:eastAsia="Nunito" w:cs="Nunito"/>
                <w:color w:val="222222"/>
                <w:sz w:val="20"/>
              </w:rPr>
              <w:t>3.1 | July-September 2026</w:t>
            </w:r>
          </w:p>
        </w:tc>
      </w:tr>
    </w:tbl>
    <w:p/>
    <w:p>
      <w:pPr>
        <w:pBdr>
          <w:bottom w:val="single" w:sz="8" w:space="1" w:color="007A87"/>
        </w:pBdr>
      </w:pPr>
    </w:p>
    <w:p>
      <w:pPr>
        <w:pStyle w:val="Heading2"/>
      </w:pPr>
      <w:r>
        <w:rPr>
          <w:rFonts w:ascii="Lexend" w:hAnsi="Lexend" w:eastAsia="Lexend" w:cs="Lexend"/>
          <w:color w:val="1B2A4A"/>
        </w:rPr>
        <w:t>Chosen archetype</w:t>
      </w:r>
    </w:p>
    <w:p>
      <w:pPr>
        <w:spacing w:after="120"/>
      </w:pPr>
      <w:r>
        <w:rPr>
          <w:rFonts w:ascii="Nunito" w:hAnsi="Nunito" w:eastAsia="Nunito" w:cs="Nunito"/>
          <w:b w:val="0"/>
          <w:i w:val="0"/>
          <w:color w:val="222222"/>
          <w:sz w:val="22"/>
        </w:rPr>
        <w:t>Ground this in a specific voice from the transcripts (cite BN-xx).</w:t>
      </w:r>
    </w:p>
    <w:p>
      <w:pPr>
        <w:pStyle w:val="Heading2"/>
      </w:pPr>
      <w:r>
        <w:rPr>
          <w:rFonts w:ascii="Lexend" w:hAnsi="Lexend" w:eastAsia="Lexend" w:cs="Lexend"/>
          <w:color w:val="1B2A4A"/>
        </w:rPr>
        <w:t>Empathy map (cite quotes)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608"/>
            <w:shd w:val="clear" w:color="auto" w:fill="1B2A4A"/>
          </w:tcPr>
          <w:p>
            <w:r>
              <w:rPr>
                <w:rFonts w:ascii="Lexend" w:hAnsi="Lexend" w:eastAsia="Lexend" w:cs="Lexend"/>
                <w:b/>
                <w:color w:val="FFFFFF"/>
                <w:sz w:val="20"/>
              </w:rPr>
              <w:t>Says</w:t>
            </w:r>
          </w:p>
        </w:tc>
        <w:tc>
          <w:tcPr>
            <w:tcW w:type="dxa" w:w="4608"/>
            <w:shd w:val="clear" w:color="auto" w:fill="1B2A4A"/>
          </w:tcPr>
          <w:p>
            <w:r>
              <w:rPr>
                <w:rFonts w:ascii="Lexend" w:hAnsi="Lexend" w:eastAsia="Lexend" w:cs="Lexend"/>
                <w:b/>
                <w:color w:val="FFFFFF"/>
                <w:sz w:val="20"/>
              </w:rPr>
              <w:t>Thinks</w:t>
            </w:r>
          </w:p>
        </w:tc>
      </w:tr>
      <w:tr>
        <w:tc>
          <w:tcPr>
            <w:tcW w:type="dxa" w:w="4608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  <w:tc>
          <w:tcPr>
            <w:tcW w:type="dxa" w:w="4608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</w:tr>
    </w:tbl>
    <w:p/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608"/>
            <w:shd w:val="clear" w:color="auto" w:fill="1B2A4A"/>
          </w:tcPr>
          <w:p>
            <w:r>
              <w:rPr>
                <w:rFonts w:ascii="Lexend" w:hAnsi="Lexend" w:eastAsia="Lexend" w:cs="Lexend"/>
                <w:b/>
                <w:color w:val="FFFFFF"/>
                <w:sz w:val="20"/>
              </w:rPr>
              <w:t>Does</w:t>
            </w:r>
          </w:p>
        </w:tc>
        <w:tc>
          <w:tcPr>
            <w:tcW w:type="dxa" w:w="4608"/>
            <w:shd w:val="clear" w:color="auto" w:fill="1B2A4A"/>
          </w:tcPr>
          <w:p>
            <w:r>
              <w:rPr>
                <w:rFonts w:ascii="Lexend" w:hAnsi="Lexend" w:eastAsia="Lexend" w:cs="Lexend"/>
                <w:b/>
                <w:color w:val="FFFFFF"/>
                <w:sz w:val="20"/>
              </w:rPr>
              <w:t>Feels</w:t>
            </w:r>
          </w:p>
        </w:tc>
      </w:tr>
      <w:tr>
        <w:tc>
          <w:tcPr>
            <w:tcW w:type="dxa" w:w="4608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  <w:tc>
          <w:tcPr>
            <w:tcW w:type="dxa" w:w="4608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</w:tr>
    </w:tbl>
    <w:p/>
    <w:p>
      <w:pPr>
        <w:pStyle w:val="Heading2"/>
      </w:pPr>
      <w:r>
        <w:rPr>
          <w:rFonts w:ascii="Lexend" w:hAnsi="Lexend" w:eastAsia="Lexend" w:cs="Lexend"/>
          <w:color w:val="1B2A4A"/>
        </w:rPr>
        <w:t>Journey map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904"/>
        <w:gridCol w:w="1904"/>
        <w:gridCol w:w="1904"/>
        <w:gridCol w:w="1904"/>
        <w:gridCol w:w="1904"/>
      </w:tblGrid>
      <w:tr>
        <w:tc>
          <w:tcPr>
            <w:tcW w:type="dxa" w:w="1584"/>
            <w:shd w:val="clear" w:color="auto" w:fill="1B2A4A"/>
          </w:tcPr>
          <w:p>
            <w:r>
              <w:rPr>
                <w:rFonts w:ascii="Lexend" w:hAnsi="Lexend" w:eastAsia="Lexend" w:cs="Lexend"/>
                <w:b/>
                <w:color w:val="FFFFFF"/>
                <w:sz w:val="20"/>
              </w:rPr>
              <w:t>Stage</w:t>
            </w:r>
          </w:p>
        </w:tc>
        <w:tc>
          <w:tcPr>
            <w:tcW w:type="dxa" w:w="2016"/>
            <w:shd w:val="clear" w:color="auto" w:fill="1B2A4A"/>
          </w:tcPr>
          <w:p>
            <w:r>
              <w:rPr>
                <w:rFonts w:ascii="Lexend" w:hAnsi="Lexend" w:eastAsia="Lexend" w:cs="Lexend"/>
                <w:b/>
                <w:color w:val="FFFFFF"/>
                <w:sz w:val="20"/>
              </w:rPr>
              <w:t>What happens</w:t>
            </w:r>
          </w:p>
        </w:tc>
        <w:tc>
          <w:tcPr>
            <w:tcW w:type="dxa" w:w="1296"/>
            <w:shd w:val="clear" w:color="auto" w:fill="1B2A4A"/>
          </w:tcPr>
          <w:p>
            <w:r>
              <w:rPr>
                <w:rFonts w:ascii="Lexend" w:hAnsi="Lexend" w:eastAsia="Lexend" w:cs="Lexend"/>
                <w:b/>
                <w:color w:val="FFFFFF"/>
                <w:sz w:val="20"/>
              </w:rPr>
              <w:t>Emotion</w:t>
            </w:r>
          </w:p>
        </w:tc>
        <w:tc>
          <w:tcPr>
            <w:tcW w:type="dxa" w:w="1728"/>
            <w:shd w:val="clear" w:color="auto" w:fill="1B2A4A"/>
          </w:tcPr>
          <w:p>
            <w:r>
              <w:rPr>
                <w:rFonts w:ascii="Lexend" w:hAnsi="Lexend" w:eastAsia="Lexend" w:cs="Lexend"/>
                <w:b/>
                <w:color w:val="FFFFFF"/>
                <w:sz w:val="20"/>
              </w:rPr>
              <w:t>Pain point</w:t>
            </w:r>
          </w:p>
        </w:tc>
        <w:tc>
          <w:tcPr>
            <w:tcW w:type="dxa" w:w="2592"/>
            <w:shd w:val="clear" w:color="auto" w:fill="1B2A4A"/>
          </w:tcPr>
          <w:p>
            <w:r>
              <w:rPr>
                <w:rFonts w:ascii="Lexend" w:hAnsi="Lexend" w:eastAsia="Lexend" w:cs="Lexend"/>
                <w:b/>
                <w:color w:val="FFFFFF"/>
                <w:sz w:val="20"/>
              </w:rPr>
              <w:t>Evidence (quote or FM-)</w:t>
            </w:r>
          </w:p>
        </w:tc>
      </w:tr>
      <w:tr>
        <w:tc>
          <w:tcPr>
            <w:tcW w:type="dxa" w:w="1584"/>
          </w:tcPr>
          <w:p>
            <w:r>
              <w:rPr>
                <w:rFonts w:ascii="Nunito" w:hAnsi="Nunito" w:eastAsia="Nunito" w:cs="Nunito"/>
                <w:sz w:val="20"/>
              </w:rPr>
              <w:t>Awareness</w:t>
            </w:r>
          </w:p>
        </w:tc>
        <w:tc>
          <w:tcPr>
            <w:tcW w:type="dxa" w:w="2016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  <w:tc>
          <w:tcPr>
            <w:tcW w:type="dxa" w:w="1296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  <w:tc>
          <w:tcPr>
            <w:tcW w:type="dxa" w:w="1728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  <w:tc>
          <w:tcPr>
            <w:tcW w:type="dxa" w:w="2592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</w:tr>
      <w:tr>
        <w:tc>
          <w:tcPr>
            <w:tcW w:type="dxa" w:w="1584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  <w:t>Waitlist</w:t>
            </w:r>
          </w:p>
        </w:tc>
        <w:tc>
          <w:tcPr>
            <w:tcW w:type="dxa" w:w="2016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  <w:tc>
          <w:tcPr>
            <w:tcW w:type="dxa" w:w="1296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  <w:tc>
          <w:tcPr>
            <w:tcW w:type="dxa" w:w="1728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  <w:tc>
          <w:tcPr>
            <w:tcW w:type="dxa" w:w="2592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</w:tr>
      <w:tr>
        <w:tc>
          <w:tcPr>
            <w:tcW w:type="dxa" w:w="1584"/>
          </w:tcPr>
          <w:p>
            <w:r>
              <w:rPr>
                <w:rFonts w:ascii="Nunito" w:hAnsi="Nunito" w:eastAsia="Nunito" w:cs="Nunito"/>
                <w:sz w:val="20"/>
              </w:rPr>
              <w:t>Training</w:t>
            </w:r>
          </w:p>
        </w:tc>
        <w:tc>
          <w:tcPr>
            <w:tcW w:type="dxa" w:w="2016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  <w:tc>
          <w:tcPr>
            <w:tcW w:type="dxa" w:w="1296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  <w:tc>
          <w:tcPr>
            <w:tcW w:type="dxa" w:w="1728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  <w:tc>
          <w:tcPr>
            <w:tcW w:type="dxa" w:w="2592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</w:tr>
      <w:tr>
        <w:tc>
          <w:tcPr>
            <w:tcW w:type="dxa" w:w="1584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  <w:t>Internship</w:t>
            </w:r>
          </w:p>
        </w:tc>
        <w:tc>
          <w:tcPr>
            <w:tcW w:type="dxa" w:w="2016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  <w:tc>
          <w:tcPr>
            <w:tcW w:type="dxa" w:w="1296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  <w:tc>
          <w:tcPr>
            <w:tcW w:type="dxa" w:w="1728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  <w:tc>
          <w:tcPr>
            <w:tcW w:type="dxa" w:w="2592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</w:tr>
      <w:tr>
        <w:tc>
          <w:tcPr>
            <w:tcW w:type="dxa" w:w="1584"/>
          </w:tcPr>
          <w:p>
            <w:r>
              <w:rPr>
                <w:rFonts w:ascii="Nunito" w:hAnsi="Nunito" w:eastAsia="Nunito" w:cs="Nunito"/>
                <w:sz w:val="20"/>
              </w:rPr>
              <w:t>Job search</w:t>
            </w:r>
          </w:p>
        </w:tc>
        <w:tc>
          <w:tcPr>
            <w:tcW w:type="dxa" w:w="2016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  <w:tc>
          <w:tcPr>
            <w:tcW w:type="dxa" w:w="1296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  <w:tc>
          <w:tcPr>
            <w:tcW w:type="dxa" w:w="1728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  <w:tc>
          <w:tcPr>
            <w:tcW w:type="dxa" w:w="2592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</w:tr>
      <w:tr>
        <w:tc>
          <w:tcPr>
            <w:tcW w:type="dxa" w:w="1584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  <w:t>90-day outcome</w:t>
            </w:r>
          </w:p>
        </w:tc>
        <w:tc>
          <w:tcPr>
            <w:tcW w:type="dxa" w:w="2016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  <w:tc>
          <w:tcPr>
            <w:tcW w:type="dxa" w:w="1296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  <w:tc>
          <w:tcPr>
            <w:tcW w:type="dxa" w:w="1728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  <w:tc>
          <w:tcPr>
            <w:tcW w:type="dxa" w:w="2592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</w:tr>
    </w:tbl>
    <w:p/>
    <w:sectPr w:rsidR="00FC693F" w:rsidRPr="0006063C" w:rsidSect="00034616">
      <w:pgSz w:w="12240" w:h="15840"/>
      <w:pgMar w:top="1361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Nunito" w:hAnsi="Nunito" w:eastAsia="Nunito" w:cs="Nunito"/>
      <w:color w:val="222222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