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Answer Key - Start Here</w:t>
      </w:r>
    </w:p>
    <w:p>
      <w:r>
        <w:rPr>
          <w:rFonts w:ascii="Nunito" w:hAnsi="Nunito" w:eastAsia="Nunito" w:cs="Nunito"/>
          <w:i/>
          <w:color w:val="666666"/>
          <w:sz w:val="24"/>
        </w:rPr>
        <w:t>Facilitator reference for data inconsistencies and expected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This folder is for facilitators, buddies and assessors only. Do not distribute to participants. It consolidates the case key: data inconsistencies (Workflow B), document contradictions, expected deliverables under the asymmetric request protocol, and solution paths.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Lenses we are testing (never tell participants)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growth, targets and placement metrics against dignity, quality and who gets left behind.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recommendations grounded in beneficiary voices versus solving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A must invent the ask; B must translate. A learning material inconsistencies only through Findings Memos is correct by design.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Files in this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01_Data_Inconsistencies_Register.pdf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Every dataset and document inconsistency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02_Expected_Deliverables_and_Outcomes.pdf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What excellent work looks like per deliverable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03_Strategic_Solution_Paths.pdf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Defensible recommendation paths and red lines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Data_Inconsistencies_Register.xlsx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Searchable register for marking and debrief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How to use this pack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Before Week 1: read the data inconsistencies register so you know what teams should find.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During marking: use Expected Deliverables for criterion-level judgement.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In debrief: reveal that multiple solution paths were valid (see document 03).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Operational facilitation remains in Facilitators/ (buddy hints, rubric, debrief flow).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