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Inconsistencies Register</w:t>
      </w:r>
    </w:p>
    <w:p>
      <w:r>
        <w:rPr>
          <w:rFonts w:ascii="Nunito" w:hAnsi="Nunito" w:eastAsia="Nunito" w:cs="Nunito"/>
          <w:i/>
          <w:color w:val="666666"/>
          <w:sz w:val="24"/>
        </w:rPr>
        <w:t>Complete list of built-in errors and document contradictions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Teams earn credit for finding these, documenting their response, and triangulating with client documents and transcripts. None should be ignored.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Part 1 - Dataset inconsistencies (GBF_Datasets.xlsx - Workflow B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A should only learn material issues through Findings Memos. Mark down if A opens the raw file or if B dumps the cleaning log without translation.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Ref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teams should see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Expected handling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DC-01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Duplicate beneficiary IDs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Two rows share an ID with different province values (one shows 'HCMC').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De-duplicate before any count; keep the most complete record and log the decision.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Mixed date formats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tables with dates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Same field uses dd/mm/yyyy, yyyy-mm-dd and dd-mm-yyyy interchangeably.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Standardise to one format before joins; document the rule in the assumption log.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DC-03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Inconsistent placement coding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employment_outcomes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placed_90d uses Y, Yes, 1, N, No, 0 and blank for the same meaning.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Map to a single binary flag; treat blank as missing, not 'not placed'.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DC-04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Inconsistent attendance coding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programme_attendance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attended uses Y, N, 1 and 0.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Normalise to 1/0 before calculating attendance rates.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DC-05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Impossible age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Record GBF-2025-10417 has a date of birth implying age ~42.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Flag as data error; exclude from age analysis or correct with documented assumption.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DC-06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Wage typo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employment_outcomes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Record GBF-2025-10417 shows wage_vnd_monthly = 99,999,999 (notes field flags error).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Investigate; exclude or cap for wage averages; never report uncorrected.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DC-07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Missing ethnicity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Roughly 18% of ethnicity fields are blank.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Report missingness; do not impute without stating why.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DC-08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Missing disability flag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Roughly 5% of disability_status fields are blank.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Treat as unknown; compare Y-only rate with and without unknowns.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DC-09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Province label mismatch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Same hub appears as 'Ho Chi Minh City' and 'HCMC'.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Create a lookup table; never double-count provinces.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DC-10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Dong Nai cost double-entry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hub_costs_2025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September 2025 for hub DN appears twice with identical totals.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Remove duplicate row before summing hub costs.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DC-11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Hours on inactive mentor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volunteer_hours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Mentor M-099 is marked Inactive but has logged hours.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Exclude inactive-mentor hours from DB-4 or justify inclusion.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DC-12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Text-formatted funding amount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funding_by_source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UK aid / FCDO 2025-Q3 amount_vnd_m stored as text with a thousands comma.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Convert to number before SUM; note in data quality report.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DC-13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Sample vs organisation totals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All tables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Export covers ~520 beneficiaries; handbook cites 2,847 served in 2025.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State sample limitation in every analysis; do not extrapolate to org totals.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Part 2 - Document and narrative contradictions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Ref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Contradiction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strong teams do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DC-D01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Placement rate definition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D-01 vs D-02 vs ST-02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D-01 public report: 71% within 90 days (broad: includes gig work &gt;=15 hrs/week). ST-02: formal contract rate closer to 63%. D-02 says Pathway Digital reporting was generous.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Teams must state which definition they use and report both where possible.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DC-D02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Pathway Digital completion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D-02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Donor-facing figure 68%; true completers/ starters = 52% (wrong denominator).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Strong teams catch this and discuss reputational risk.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DC-D03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Dong Nai performance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D-02, ST-01, ST-05, EP-02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Internship drop-out 38% vs org average 22%; transport and employer quality cited.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Dashboard should show DN below 65%; recommendations must address DN if scaling.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DC-D04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Disability gap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ST-03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Reported disability share ~6%; population nearer 9%. Placement ~49% vs 71% overall.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Mark down if disability breakdown is missing from analysis or recommendations.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DC-D05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Board email thread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D-08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Forwarded anonymously; unverified; politically motivated opinions.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Use for stakeholder sentiment only; triangulate with transcripts.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DC-D06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YouthWorks threat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D-10 vs ST-04 vs ST-05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Development says overstated; field staff see waitlist leakage in Binh Duong border districts.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 single truth; evidence-based judgement required.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DC-D07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VPBank conditions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D-03 vs DN-01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65% at 90 days required; DN-01 open to quality-focused alternative but not open-ended delay.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Funding scenarios must stress-test the 65% condition honestly.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DC-D08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60-day reporting proposal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ST-04 vs D-03 vs DN-01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Anh Duc suggests early measurement; contract and donor say 90 days is primary.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Recommending 60-day reporting as primary metric is a red line.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DC-D09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Long An pilot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D-02, ST-01, BD-01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~60% drop-out; board member T.N. pushes expansion for political reasons.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Scaling to Long An without fixing the model is a common weak answer.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DC-D10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Social enterprise conflict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D-12, EP-01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GBF Staffing Solutions earns placement fees from same employers who take interns.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Strong teams surface the conflict in trade-off reflection or options; it is not labelled for them.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Part 3 - Expected quantitative patterns (after cleaning)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hub placement rate clearly below HCMC hubs (target: flag below 65%).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Long An and Pathway Digital underperform Skills Forward on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Broad placement rate roughly 8 points above formal-only rate (aligns with ST-02).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Disability placement gap of ~20+ points vs overall (aligns with ST-03).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Higher attendance associated with placement, but confounded by transport and motivation.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Aggressive growth scenario struggles to meet 65% without selection bias (efficiency vs ethics tension).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