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Data Task Solutions</w:t>
      </w:r>
    </w:p>
    <w:p>
      <w:r>
        <w:rPr>
          <w:rFonts w:ascii="Nunito" w:hAnsi="Nunito" w:eastAsia="Nunito" w:cs="Nunito"/>
          <w:i/>
          <w:color w:val="666666"/>
          <w:sz w:val="24"/>
        </w:rPr>
        <w:t>CONFIDENTIAL - expected findings and coaching methods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pack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ONLY - do not distribute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Workflow B should find these. Workflow A should learn material issues only through Findings Memos, not by opening the workbook. Participant packs no longer include step-by-step DB-3/DB-4 recipes - Buddies coach method; this file holds the key.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DB-1 Data quality - what B should find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Duplicate beneficiary IDs (built in) - de-duplicate before counting.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placed_90d coded as Y/Yes/1/N/No/0/blank - normalise.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Mixed date formats across tables.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 wage outlier (obvious typo) on one record.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Dong Nai Q3 costs double-entered in hub_costs_2025.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Hours logged against an inactive mentor in volunteer_hours.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'HCMC' vs 'Ho Chi Minh City' inconsistency.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DB-2 expected patterns (foundation dashboard)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Dong Nai placement clearly below HCMC hubs.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Formal-only rate roughly 8 points below the broad rate (aligns with ST-02).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Disability placement materially below overall (aligns with ST-03).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When A asks about placement drivers / attendance / programme design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Coach B toward this path only if stuck (do not hand A the recipe):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Normalise attendance coding in programme_attendance (Y/N/1/0).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Pivot to one attendance rate per beneficiary_id.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XLOOKUP (or join) placement from employment_outcomes.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Compare average attendance for placed vs not placed.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Findings Memo must name confounders (e.g. transport, motivation) - association is not causation.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Expected pattern: higher attendance associates with placement, but confounded.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When A asks about mentoring / completion / volunteer capacity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Coach B toward: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Total mentor hours per young person from volunteer_hours.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Exclude or flag hours logged against inactive mentors before averaging.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Compare completers vs those who withdrew; do not overclaim.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Expected pattern: mentor hours weakly associate with completion.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Funding scenarios (B5)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Aggressive growth struggles to hold 65% honestly without selection pressure - the efficiency/ethics tension teams should discover.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