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Lexend" w:hAnsi="Lexend" w:eastAsia="Lexend" w:cs="Lexend"/>
          <w:b/>
          <w:color w:val="007A87"/>
          <w:sz w:val="24"/>
        </w:rPr>
        <w:t>Momentum Programme   |   Scaling with Integrity</w:t>
      </w:r>
    </w:p>
    <w:p>
      <w:pPr>
        <w:spacing w:after="40"/>
      </w:pPr>
      <w:r>
        <w:rPr>
          <w:rFonts w:ascii="Lexend" w:hAnsi="Lexend" w:eastAsia="Lexend" w:cs="Lexend"/>
          <w:b/>
          <w:color w:val="1B2A4A"/>
          <w:sz w:val="48"/>
        </w:rPr>
        <w:t>Debrief Guide &amp; FAQ</w:t>
      </w:r>
    </w:p>
    <w:p>
      <w:r>
        <w:rPr>
          <w:rFonts w:ascii="Nunito" w:hAnsi="Nunito" w:eastAsia="Nunito" w:cs="Nunito"/>
          <w:i/>
          <w:color w:val="666666"/>
          <w:sz w:val="24"/>
        </w:rPr>
        <w:t>Run a 90-minute debrief; answer common questions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Client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  <w:t>Generation Bridge Foundation</w:t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Document reference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  <w:t>Facilitator pack</w:t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Classification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  <w:t>FACILITATOR ONLY - do not distribute</w:t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Version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  <w:t>3.1 | July-September 2026</w:t>
            </w:r>
          </w:p>
        </w:tc>
      </w:tr>
    </w:tbl>
    <w:p/>
    <w:p>
      <w:pPr>
        <w:pBdr>
          <w:bottom w:val="single" w:sz="8" w:space="1" w:color="007A87"/>
        </w:pBdr>
      </w:pPr>
    </w:p>
    <w:p>
      <w:pPr>
        <w:pStyle w:val="Heading1"/>
      </w:pPr>
      <w:r>
        <w:rPr>
          <w:rFonts w:ascii="Lexend" w:hAnsi="Lexend" w:eastAsia="Lexend" w:cs="Lexend"/>
          <w:color w:val="1B2A4A"/>
        </w:rPr>
        <w:t>Working space and submission (tell teams at kickoff)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Shared workspace: Google Drive / Google Workspace folder per team (or Microsoft 365 if the cohort is assigned that stack).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Submission: upload named file to Drive, then submit the link via the weekly Google Form (Buddy shares URL). Email is backup only.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File naming: TeamShortName_Owner_DeliverableCode_Version.ext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Package download: GitHub repo -&gt; Code -&gt; Download ZIP.</w:t>
      </w:r>
    </w:p>
    <w:p>
      <w:pPr>
        <w:pStyle w:val="Heading1"/>
      </w:pPr>
      <w:r>
        <w:rPr>
          <w:rFonts w:ascii="Lexend" w:hAnsi="Lexend" w:eastAsia="Lexend" w:cs="Lexend"/>
          <w:color w:val="1B2A4A"/>
        </w:rPr>
        <w:t>Debrief flow (90 minutes)</w:t>
      </w:r>
    </w:p>
    <w:p>
      <w:pPr>
        <w:pStyle w:val="ListNumber"/>
        <w:ind w:left="360"/>
      </w:pPr>
      <w:r>
        <w:rPr>
          <w:rFonts w:ascii="Nunito" w:hAnsi="Nunito" w:eastAsia="Nunito" w:cs="Nunito"/>
        </w:rPr>
        <w:t>Team reflection (15 min): what surprised you?</w:t>
      </w:r>
    </w:p>
    <w:p>
      <w:pPr>
        <w:pStyle w:val="ListNumber"/>
        <w:ind w:left="360"/>
      </w:pPr>
      <w:r>
        <w:rPr>
          <w:rFonts w:ascii="Nunito" w:hAnsi="Nunito" w:eastAsia="Nunito" w:cs="Nunito"/>
        </w:rPr>
        <w:t>Evidence round (20 min): each team names the finding that changed their mind (ideally via a Findings Memo, not a slide of pivots).</w:t>
      </w:r>
    </w:p>
    <w:p>
      <w:pPr>
        <w:pStyle w:val="ListNumber"/>
        <w:ind w:left="360"/>
      </w:pPr>
      <w:r>
        <w:rPr>
          <w:rFonts w:ascii="Nunito" w:hAnsi="Nunito" w:eastAsia="Nunito" w:cs="Nunito"/>
        </w:rPr>
        <w:t>Trade-off round (20 min): what did your recommendation cost, and for whom? (Only then may facilitators name efficiency versus ethics if it still has not surfaced.)</w:t>
      </w:r>
    </w:p>
    <w:p>
      <w:pPr>
        <w:pStyle w:val="ListNumber"/>
        <w:ind w:left="360"/>
      </w:pPr>
      <w:r>
        <w:rPr>
          <w:rFonts w:ascii="Nunito" w:hAnsi="Nunito" w:eastAsia="Nunito" w:cs="Nunito"/>
        </w:rPr>
        <w:t>Reveal (20 min): show the multiple valid paths; there was no single answer.</w:t>
      </w:r>
    </w:p>
    <w:p>
      <w:pPr>
        <w:pStyle w:val="ListNumber"/>
        <w:ind w:left="360"/>
      </w:pPr>
      <w:r>
        <w:rPr>
          <w:rFonts w:ascii="Nunito" w:hAnsi="Nunito" w:eastAsia="Nunito" w:cs="Nunito"/>
        </w:rPr>
        <w:t>Skills forward (15 min): one thing each person will practise next.</w:t>
      </w:r>
    </w:p>
    <w:p>
      <w:pPr>
        <w:pStyle w:val="Heading1"/>
      </w:pPr>
      <w:r>
        <w:rPr>
          <w:rFonts w:ascii="Lexend" w:hAnsi="Lexend" w:eastAsia="Lexend" w:cs="Lexend"/>
          <w:color w:val="1B2A4A"/>
        </w:rPr>
        <w:t>Frequently asked questions</w:t>
      </w:r>
    </w:p>
    <w:p>
      <w:pPr>
        <w:spacing w:after="120"/>
      </w:pPr>
      <w:r>
        <w:rPr>
          <w:rFonts w:ascii="Nunito" w:hAnsi="Nunito" w:eastAsia="Nunito" w:cs="Nunito"/>
          <w:b/>
          <w:i w:val="0"/>
          <w:color w:val="222222"/>
          <w:sz w:val="22"/>
        </w:rPr>
        <w:t>Can Workflow A have the Excel file?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No. Asking what to request is part of the exercise. Buddies must not share it.</w:t>
      </w:r>
    </w:p>
    <w:p>
      <w:pPr>
        <w:spacing w:after="120"/>
      </w:pPr>
      <w:r>
        <w:rPr>
          <w:rFonts w:ascii="Nunito" w:hAnsi="Nunito" w:eastAsia="Nunito" w:cs="Nunito"/>
          <w:b/>
          <w:i w:val="0"/>
          <w:color w:val="222222"/>
          <w:sz w:val="22"/>
        </w:rPr>
        <w:t>Can we collect more data or interview real NGO staff?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No. GBF and all named parties are fictional for this Impact Case. Everything required is in the pack. Managing incomplete information is part of the exercise.</w:t>
      </w:r>
    </w:p>
    <w:p>
      <w:pPr>
        <w:spacing w:after="120"/>
      </w:pPr>
      <w:r>
        <w:rPr>
          <w:rFonts w:ascii="Nunito" w:hAnsi="Nunito" w:eastAsia="Nunito" w:cs="Nunito"/>
          <w:b/>
          <w:i w:val="0"/>
          <w:color w:val="222222"/>
          <w:sz w:val="22"/>
        </w:rPr>
        <w:t>How do we confirm the handoff online?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Tick the checklist boxes, type full name and date. A Drive comment or sheet tick is enough - no wet signature.</w:t>
      </w:r>
    </w:p>
    <w:p>
      <w:pPr>
        <w:spacing w:after="120"/>
      </w:pPr>
      <w:r>
        <w:rPr>
          <w:rFonts w:ascii="Nunito" w:hAnsi="Nunito" w:eastAsia="Nunito" w:cs="Nunito"/>
          <w:b/>
          <w:i w:val="0"/>
          <w:color w:val="222222"/>
          <w:sz w:val="22"/>
        </w:rPr>
        <w:t>Which placement rate is correct?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Both are 'correct' under their definitions. The learning point is to state the definition and report honestly (D-01 footnote vs ST-02).</w:t>
      </w:r>
    </w:p>
    <w:p>
      <w:pPr>
        <w:spacing w:after="120"/>
      </w:pPr>
      <w:r>
        <w:rPr>
          <w:rFonts w:ascii="Nunito" w:hAnsi="Nunito" w:eastAsia="Nunito" w:cs="Nunito"/>
          <w:b/>
          <w:i w:val="0"/>
          <w:color w:val="222222"/>
          <w:sz w:val="22"/>
        </w:rPr>
        <w:t>Is there a right recommendation?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No. Several paths are defensible (see Solution Paths). Judgement and evidence win.</w:t>
      </w:r>
    </w:p>
    <w:sectPr w:rsidR="00FC693F" w:rsidRPr="0006063C" w:rsidSect="00034616">
      <w:pgSz w:w="12240" w:h="15840"/>
      <w:pgMar w:top="1361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Nunito" w:hAnsi="Nunito" w:eastAsia="Nunito" w:cs="Nunito"/>
      <w:color w:val="22222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