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Analysis Summary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pStyle w:val="Heading2"/>
      </w:pPr>
      <w:r>
        <w:rPr>
          <w:rFonts w:ascii="Lexend" w:hAnsi="Lexend" w:eastAsia="Lexend" w:cs="Lexend"/>
          <w:color w:val="1B2A4A"/>
        </w:rPr>
        <w:t>Headline findings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5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592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Linked Request / FM</w:t>
            </w:r>
          </w:p>
        </w:tc>
        <w:tc>
          <w:tcPr>
            <w:tcW w:type="dxa" w:w="316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Caveat</w:t>
            </w:r>
          </w:p>
        </w:tc>
      </w:tr>
      <w:tr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345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592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316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Deep-dives completed (only if A requested them)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Summarise any on-request analyses (e.g. placement drivers, attendance, mentoring, completion). For each: what A asked, what you found, definitions used, and whether you are claiming association or causation.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Open questions for further requests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