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Lexend" w:hAnsi="Lexend" w:eastAsia="Lexend" w:cs="Lexend"/>
          <w:b/>
          <w:color w:val="007A87"/>
          <w:sz w:val="24"/>
        </w:rPr>
        <w:t>Momentum Programme   |   Scaling with Integrity</w:t>
      </w:r>
    </w:p>
    <w:p>
      <w:pPr>
        <w:spacing w:after="40"/>
      </w:pPr>
      <w:r>
        <w:rPr>
          <w:rFonts w:ascii="Lexend" w:hAnsi="Lexend" w:eastAsia="Lexend" w:cs="Lexend"/>
          <w:b/>
          <w:color w:val="1B2A4A"/>
          <w:sz w:val="48"/>
        </w:rPr>
        <w:t>Executive Summary</w:t>
      </w:r>
    </w:p>
    <w:p>
      <w:r>
        <w:rPr>
          <w:rFonts w:ascii="Nunito" w:hAnsi="Nunito" w:eastAsia="Nunito" w:cs="Nunito"/>
          <w:i/>
          <w:color w:val="666666"/>
          <w:sz w:val="24"/>
        </w:rPr>
        <w:t>Template - complete and export to PDF before submission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Client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  <w:t>Generation Bridge Foundation</w:t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Classification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  <w:t>Participant template</w:t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Version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  <w:t>3.1 | July-September 2026</w:t>
            </w:r>
          </w:p>
        </w:tc>
      </w:tr>
    </w:tbl>
    <w:p/>
    <w:p>
      <w:pPr>
        <w:pBdr>
          <w:bottom w:val="single" w:sz="8" w:space="1" w:color="007A87"/>
        </w:pBdr>
      </w:pPr>
    </w:p>
    <w:p>
      <w:pPr>
        <w:pStyle w:val="Heading2"/>
      </w:pPr>
      <w:r>
        <w:rPr>
          <w:rFonts w:ascii="Lexend" w:hAnsi="Lexend" w:eastAsia="Lexend" w:cs="Lexend"/>
          <w:color w:val="1B2A4A"/>
        </w:rPr>
        <w:t>Key message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[One sentence: the single most important thing the Board should know.]</w:t>
      </w:r>
    </w:p>
    <w:p>
      <w:pPr>
        <w:pStyle w:val="Heading2"/>
      </w:pPr>
      <w:r>
        <w:rPr>
          <w:rFonts w:ascii="Lexend" w:hAnsi="Lexend" w:eastAsia="Lexend" w:cs="Lexend"/>
          <w:color w:val="1B2A4A"/>
        </w:rPr>
        <w:t>Context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[Three or four sentences on why this decision matters now.]</w:t>
      </w:r>
    </w:p>
    <w:p>
      <w:pPr>
        <w:pStyle w:val="Heading2"/>
      </w:pPr>
      <w:r>
        <w:rPr>
          <w:rFonts w:ascii="Lexend" w:hAnsi="Lexend" w:eastAsia="Lexend" w:cs="Lexend"/>
          <w:color w:val="1B2A4A"/>
        </w:rPr>
        <w:t>Recommendation</w:t>
      </w:r>
    </w:p>
    <w:p>
      <w:pPr>
        <w:pStyle w:val="ListNumber"/>
        <w:ind w:left="360"/>
      </w:pPr>
      <w:r>
        <w:rPr>
          <w:rFonts w:ascii="Nunito" w:hAnsi="Nunito" w:eastAsia="Nunito" w:cs="Nunito"/>
        </w:rPr>
        <w:t>Primary recommendation:</w:t>
      </w:r>
    </w:p>
    <w:p>
      <w:pPr>
        <w:pStyle w:val="ListNumber"/>
        <w:ind w:left="360"/>
      </w:pPr>
      <w:r>
        <w:rPr>
          <w:rFonts w:ascii="Nunito" w:hAnsi="Nunito" w:eastAsia="Nunito" w:cs="Nunito"/>
        </w:rPr>
        <w:t>Supporting actions:</w:t>
      </w:r>
    </w:p>
    <w:p>
      <w:pPr>
        <w:pStyle w:val="ListNumber"/>
        <w:ind w:left="360"/>
      </w:pPr>
      <w:r>
        <w:rPr>
          <w:rFonts w:ascii="Nunito" w:hAnsi="Nunito" w:eastAsia="Nunito" w:cs="Nunito"/>
        </w:rPr>
        <w:t>What GBF should stop doing:</w:t>
      </w:r>
    </w:p>
    <w:p>
      <w:pPr>
        <w:pStyle w:val="Heading2"/>
      </w:pPr>
      <w:r>
        <w:rPr>
          <w:rFonts w:ascii="Lexend" w:hAnsi="Lexend" w:eastAsia="Lexend" w:cs="Lexend"/>
          <w:color w:val="1B2A4A"/>
        </w:rPr>
        <w:t>Evidence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456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Finding</w:t>
            </w:r>
          </w:p>
        </w:tc>
        <w:tc>
          <w:tcPr>
            <w:tcW w:type="dxa" w:w="2592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Source (D-/ST-/R-/FM-)</w:t>
            </w:r>
          </w:p>
        </w:tc>
        <w:tc>
          <w:tcPr>
            <w:tcW w:type="dxa" w:w="3168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Implication</w:t>
            </w:r>
          </w:p>
        </w:tc>
      </w:tr>
      <w:tr>
        <w:tc>
          <w:tcPr>
            <w:tcW w:type="dxa" w:w="3456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592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3168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</w:tr>
      <w:tr>
        <w:tc>
          <w:tcPr>
            <w:tcW w:type="dxa" w:w="3456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592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3168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</w:tr>
    </w:tbl>
    <w:p/>
    <w:p>
      <w:pPr>
        <w:pStyle w:val="Heading2"/>
      </w:pPr>
      <w:r>
        <w:rPr>
          <w:rFonts w:ascii="Lexend" w:hAnsi="Lexend" w:eastAsia="Lexend" w:cs="Lexend"/>
          <w:color w:val="1B2A4A"/>
        </w:rPr>
        <w:t>Ninety-day roadmap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016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Phase</w:t>
            </w:r>
          </w:p>
        </w:tc>
        <w:tc>
          <w:tcPr>
            <w:tcW w:type="dxa" w:w="4896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Actions</w:t>
            </w:r>
          </w:p>
        </w:tc>
        <w:tc>
          <w:tcPr>
            <w:tcW w:type="dxa" w:w="2304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Cost estimate</w:t>
            </w:r>
          </w:p>
        </w:tc>
      </w:tr>
      <w:tr>
        <w:tc>
          <w:tcPr>
            <w:tcW w:type="dxa" w:w="2016"/>
          </w:tcPr>
          <w:p>
            <w:r>
              <w:rPr>
                <w:rFonts w:ascii="Nunito" w:hAnsi="Nunito" w:eastAsia="Nunito" w:cs="Nunito"/>
                <w:sz w:val="20"/>
              </w:rPr>
              <w:t>0-30 days</w:t>
            </w:r>
          </w:p>
        </w:tc>
        <w:tc>
          <w:tcPr>
            <w:tcW w:type="dxa" w:w="4896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</w:tr>
      <w:tr>
        <w:tc>
          <w:tcPr>
            <w:tcW w:type="dxa" w:w="2016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  <w:t>31-60 days</w:t>
            </w:r>
          </w:p>
        </w:tc>
        <w:tc>
          <w:tcPr>
            <w:tcW w:type="dxa" w:w="4896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304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rFonts w:ascii="Nunito" w:hAnsi="Nunito" w:eastAsia="Nunito" w:cs="Nunito"/>
                <w:sz w:val="20"/>
              </w:rPr>
              <w:t>61-90 days</w:t>
            </w:r>
          </w:p>
        </w:tc>
        <w:tc>
          <w:tcPr>
            <w:tcW w:type="dxa" w:w="4896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</w:tr>
    </w:tbl>
    <w:p/>
    <w:p>
      <w:pPr>
        <w:pStyle w:val="Heading2"/>
      </w:pPr>
      <w:r>
        <w:rPr>
          <w:rFonts w:ascii="Lexend" w:hAnsi="Lexend" w:eastAsia="Lexend" w:cs="Lexend"/>
          <w:color w:val="1B2A4A"/>
        </w:rPr>
        <w:t>What we still do not know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[Honest limitations - this builds credibility.]</w:t>
      </w:r>
    </w:p>
    <w:sectPr w:rsidR="00FC693F" w:rsidRPr="0006063C" w:rsidSect="00034616">
      <w:pgSz w:w="12240" w:h="15840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Nunito" w:hAnsi="Nunito" w:eastAsia="Nunito" w:cs="Nunito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