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Answer Key - Start Here</w:t>
      </w:r>
    </w:p>
    <w:p>
      <w:r>
        <w:rPr>
          <w:i/>
          <w:color w:val="666666"/>
          <w:sz w:val="24"/>
        </w:rPr>
        <w:t>Facilitator reference for data inconsistencies and expected deliverables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GBF Case Key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ANSWER KEY - FACILITATOR ONLY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This folder is for facilitators, buddies and assessors only. Do not distribute to participants. It consolidates the case key: every built-in data inconsistency, document-level contradiction, and what strong deliverables should contain.</w:t>
      </w:r>
    </w:p>
    <w:p>
      <w:pPr>
        <w:pStyle w:val="Heading1"/>
      </w:pPr>
      <w:r>
        <w:rPr>
          <w:rFonts w:ascii="Calibri" w:hAnsi="Calibri"/>
          <w:color w:val="1B2A4A"/>
        </w:rPr>
        <w:t>Files in this folder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60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460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01_Data_Inconsistencies_Register.pdf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Every dataset and document inconsistency</w:t>
            </w:r>
          </w:p>
        </w:tc>
      </w:tr>
      <w:tr>
        <w:tc>
          <w:tcPr>
            <w:tcW w:type="dxa" w:w="4608"/>
            <w:shd w:val="clear" w:color="auto" w:fill="F2F4F7"/>
          </w:tcPr>
          <w:p>
            <w:r>
              <w:rPr>
                <w:sz w:val="20"/>
              </w:rPr>
              <w:t>02_Expected_Deliverables_and_Outcomes.pdf</w:t>
            </w:r>
          </w:p>
        </w:tc>
        <w:tc>
          <w:tcPr>
            <w:tcW w:type="dxa" w:w="4608"/>
            <w:shd w:val="clear" w:color="auto" w:fill="F2F4F7"/>
          </w:tcPr>
          <w:p>
            <w:r>
              <w:rPr>
                <w:sz w:val="20"/>
              </w:rPr>
              <w:t>What excellent work looks like per deliverable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03_Strategic_Solution_Paths.pdf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Defensible recommendation paths and red lines</w:t>
            </w:r>
          </w:p>
        </w:tc>
      </w:tr>
      <w:tr>
        <w:tc>
          <w:tcPr>
            <w:tcW w:type="dxa" w:w="4608"/>
            <w:shd w:val="clear" w:color="auto" w:fill="F2F4F7"/>
          </w:tcPr>
          <w:p>
            <w:r>
              <w:rPr>
                <w:sz w:val="20"/>
              </w:rPr>
              <w:t>Data_Inconsistencies_Register.xlsx</w:t>
            </w:r>
          </w:p>
        </w:tc>
        <w:tc>
          <w:tcPr>
            <w:tcW w:type="dxa" w:w="4608"/>
            <w:shd w:val="clear" w:color="auto" w:fill="F2F4F7"/>
          </w:tcPr>
          <w:p>
            <w:r>
              <w:rPr>
                <w:sz w:val="20"/>
              </w:rPr>
              <w:t>Searchable register for marking and debrief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B2A4A"/>
        </w:rPr>
        <w:t>How to use this pack</w:t>
      </w:r>
    </w:p>
    <w:p>
      <w:pPr>
        <w:pStyle w:val="ListNumber"/>
        <w:ind w:left="360"/>
      </w:pPr>
      <w:r>
        <w:rPr>
          <w:rFonts w:ascii="Calibri" w:hAnsi="Calibri"/>
        </w:rPr>
        <w:t>Before Week 1: read the data inconsistencies register so you know what teams should find.</w:t>
      </w:r>
    </w:p>
    <w:p>
      <w:pPr>
        <w:pStyle w:val="ListNumber"/>
        <w:ind w:left="360"/>
      </w:pPr>
      <w:r>
        <w:rPr>
          <w:rFonts w:ascii="Calibri" w:hAnsi="Calibri"/>
        </w:rPr>
        <w:t>During marking: use Expected Deliverables for criterion-level judgement.</w:t>
      </w:r>
    </w:p>
    <w:p>
      <w:pPr>
        <w:pStyle w:val="ListNumber"/>
        <w:ind w:left="360"/>
      </w:pPr>
      <w:r>
        <w:rPr>
          <w:rFonts w:ascii="Calibri" w:hAnsi="Calibri"/>
        </w:rPr>
        <w:t>In debrief: reveal that multiple solution paths were valid (see document 03).</w:t>
      </w:r>
    </w:p>
    <w:p>
      <w:pPr>
        <w:pStyle w:val="ListNumber"/>
        <w:ind w:left="360"/>
      </w:pPr>
      <w:r>
        <w:rPr>
          <w:rFonts w:ascii="Calibri" w:hAnsi="Calibri"/>
        </w:rPr>
        <w:t>Operational facilitation remains in Facilitators/ (buddy hints, rubric, debrief flow).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