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Data Inconsistencies Register</w:t>
      </w:r>
    </w:p>
    <w:p>
      <w:r>
        <w:rPr>
          <w:i/>
          <w:color w:val="666666"/>
          <w:sz w:val="24"/>
        </w:rPr>
        <w:t>Complete list of built-in errors and document contradictions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Document reference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GBF Case Key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ANSWER KEY - FACILITATOR ONLY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Teams earn credit for finding these, documenting their response, and triangulating with client documents and transcripts. None should be ignored.</w:t>
      </w:r>
    </w:p>
    <w:p>
      <w:pPr>
        <w:pStyle w:val="Heading1"/>
      </w:pPr>
      <w:r>
        <w:rPr>
          <w:rFonts w:ascii="Calibri" w:hAnsi="Calibri"/>
          <w:color w:val="1B2A4A"/>
        </w:rPr>
        <w:t>Part 1 - Dataset inconsistencies (GBF_Datasets.xlsx)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86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Ref</w:t>
            </w:r>
          </w:p>
        </w:tc>
        <w:tc>
          <w:tcPr>
            <w:tcW w:type="dxa" w:w="2016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What teams should see</w:t>
            </w:r>
          </w:p>
        </w:tc>
        <w:tc>
          <w:tcPr>
            <w:tcW w:type="dxa" w:w="2016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Expected handling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DC-01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Duplicate beneficiary IDs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beneficiary_registry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Two rows share an ID with different province values (one shows 'HCMC').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De-duplicate before any count; keep the most complete record and log the decision.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DC-02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Mixed date formats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All tables with dates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  <w:t>Same field uses dd/mm/yyyy, yyyy-mm-dd and dd-mm-yyyy interchangeably.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Standardise to one format before joins; document the rule in the assumption log.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DC-03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Inconsistent placement coding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employment_outcomes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placed_90d uses Y, Yes, 1, N, No, 0 and blank for the same meaning.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Map to a single binary flag; treat blank as missing, not 'not placed'.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DC-04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Inconsistent attendance coding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programme_attendance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  <w:t>attended uses Y, N, 1 and 0.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Normalise to 1/0 before calculating attendance rates.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DC-05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Impossible 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beneficiary_registry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Record GBF-2025-10417 has a date of birth implying age ~42.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Flag as data error; exclude from age analysis or correct with documented assumption.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DC-06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Wage typo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employment_outcomes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  <w:t>Record GBF-2025-10417 shows wage_vnd_monthly = 99,999,999 (notes field flags error).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Investigate; exclude or cap for wage averages; never report uncorrected.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DC-07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Missing ethnicity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beneficiary_registry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Roughly 18% of ethnicity fields are blank.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Report missingness; do not impute without stating why.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DC-08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Missing disability flag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beneficiary_registry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  <w:t>Roughly 5% of disability_status fields are blank.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Treat as unknown; compare Y-only rate with and without unknowns.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DC-09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Province label mismatch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beneficiary_registry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hub appears as 'Ho Chi Minh City' and 'HCMC'.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Create a lookup table; never double-count provinces.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DC-10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Dong Nai cost double-entry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hub_costs_2025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  <w:t>September 2025 for hub DN appears twice with identical totals.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Remove duplicate row before summing hub costs.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DC-11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Hours on inactive mentor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volunteer_hours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Mentor M-099 is marked Inactive but has logged hours.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Exclude inactive-mentor hours from DB-4 or justify inclusion.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DC-12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Text-formatted funding amount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funding_by_source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  <w:t>UK aid / FCDO 2025-Q3 amount_vnd_m stored as text with a thousands comma.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Convert to number before SUM; note in data quality report.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DC-13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Sample vs organisation totals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 tables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 covers ~520 beneficiaries; handbook cites 2,847 served in 2025.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State sample limitation in every analysis; do not extrapolate to org totals.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A"/>
        </w:rPr>
        <w:t>Part 2 - Document and narrative contradictions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86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Ref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Sources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Contradiction</w:t>
            </w:r>
          </w:p>
        </w:tc>
        <w:tc>
          <w:tcPr>
            <w:tcW w:type="dxa" w:w="2016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What strong teams do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DC-D01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Placement rate definition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D-01 vs D-02 vs ST-02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D-01 public report: 71% within 90 days (broad: includes gig work &gt;=15 hrs/week). ST-02: formal contract rate closer to 63%. D-02 says Pathway Digital reporting was generous.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Teams must state which definition they use and report both where possible.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DC-D02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Pathway Digital completion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D-02 vs D-01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  <w:t>Donor-facing figure 68%; true completers/ starters = 52% (wrong denominator).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Strong teams catch this and discuss reputational risk.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DC-D03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Dong Nai performance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D-02, ST-01, ST-05, EP-02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Internship drop-out 38% vs org average 22%; transport and employer quality cited.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Dashboard should show DN below 65%; recommendations must address DN if scaling.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DC-D04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Disability gap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ST-03 vs D-01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  <w:t>Reported disability share ~6%; population nearer 9%. Placement ~49% vs 71% overall.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Mark down if disability breakdown is missing from analysis or recommendations.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DC-D05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Board email thread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Forwarded anonymously; unverified; politically motivated opinions.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Use for stakeholder sentiment only; triangulate with transcripts.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DC-D06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YouthWorks threat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D-10 vs ST-04 vs ST-05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  <w:t>Development says overstated; field staff see waitlist leakage in Binh Duong border districts.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No single truth; evidence-based judgement required.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DC-D07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VPBank conditions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D-03 vs DN-01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65% at 90 days required; DN-01 open to quality-focused alternative but not open-ended delay.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Funding scenarios must stress-test the 65% condition honestly.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DC-D08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60-day reporting proposal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ST-04 vs D-03 vs DN-01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  <w:t>Anh Duc suggests early measurement; contract and donor say 90 days is primary.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Recommending 60-day reporting as primary metric is a red line (ED-02).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DC-D09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Long An pilot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D-02, ST-01, BD-01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~60% drop-out; board member T.N. pushes expansion for political reasons.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Scaling to Long An without fixing the model is a common weak answer.</w:t>
            </w:r>
          </w:p>
        </w:tc>
      </w:tr>
      <w:tr>
        <w:tc>
          <w:tcPr>
            <w:tcW w:type="dxa" w:w="864"/>
            <w:shd w:val="clear" w:color="auto" w:fill="F2F4F7"/>
          </w:tcPr>
          <w:p>
            <w:r>
              <w:rPr>
                <w:sz w:val="20"/>
              </w:rPr>
              <w:t>DC-D10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Social enterprise conflict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D-12, EP-01, ED-06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  <w:t>GBF Staffing Solutions earns placement fees from same employers who take interns.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  <w:t>Ethical analysis should engage ED-06 explicitly.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A"/>
        </w:rPr>
        <w:t>Part 3 - Expected quantitative patterns (after cleaning)</w:t>
      </w:r>
    </w:p>
    <w:p>
      <w:pPr>
        <w:pStyle w:val="ListBullet"/>
        <w:ind w:left="360"/>
      </w:pPr>
      <w:r>
        <w:rPr>
          <w:rFonts w:ascii="Calibri" w:hAnsi="Calibri"/>
        </w:rPr>
        <w:t>Dong Nai hub placement rate clearly below HCMC hubs (target: flag below 65%).</w:t>
      </w:r>
    </w:p>
    <w:p>
      <w:pPr>
        <w:pStyle w:val="ListBullet"/>
        <w:ind w:left="360"/>
      </w:pPr>
      <w:r>
        <w:rPr>
          <w:rFonts w:ascii="Calibri" w:hAnsi="Calibri"/>
        </w:rPr>
        <w:t>Long An and Pathway Digital underperform Skills Forward on placement.</w:t>
      </w:r>
    </w:p>
    <w:p>
      <w:pPr>
        <w:pStyle w:val="ListBullet"/>
        <w:ind w:left="360"/>
      </w:pPr>
      <w:r>
        <w:rPr>
          <w:rFonts w:ascii="Calibri" w:hAnsi="Calibri"/>
        </w:rPr>
        <w:t>Broad placement rate roughly 8 points above formal-only rate (aligns with ST-02).</w:t>
      </w:r>
    </w:p>
    <w:p>
      <w:pPr>
        <w:pStyle w:val="ListBullet"/>
        <w:ind w:left="360"/>
      </w:pPr>
      <w:r>
        <w:rPr>
          <w:rFonts w:ascii="Calibri" w:hAnsi="Calibri"/>
        </w:rPr>
        <w:t>Disability placement gap of ~20+ points vs overall (aligns with ST-03).</w:t>
      </w:r>
    </w:p>
    <w:p>
      <w:pPr>
        <w:pStyle w:val="ListBullet"/>
        <w:ind w:left="360"/>
      </w:pPr>
      <w:r>
        <w:rPr>
          <w:rFonts w:ascii="Calibri" w:hAnsi="Calibri"/>
        </w:rPr>
        <w:t>Higher attendance associated with placement, but confounded by transport and motivation.</w:t>
      </w:r>
    </w:p>
    <w:p>
      <w:pPr>
        <w:pStyle w:val="ListBullet"/>
        <w:ind w:left="360"/>
      </w:pPr>
      <w:r>
        <w:rPr>
          <w:rFonts w:ascii="Calibri" w:hAnsi="Calibri"/>
        </w:rPr>
        <w:t>Aggressive growth scenario struggles to meet 65% without selection bias (ED-01).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