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Expected Deliverables and Outcomes</w:t>
      </w:r>
    </w:p>
    <w:p>
      <w:r>
        <w:rPr>
          <w:i/>
          <w:color w:val="666666"/>
          <w:sz w:val="24"/>
        </w:rPr>
        <w:t>Clear standards for each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Use this document when marking or giving feedback. 'Excellent' is the bar for top marks; 'Minimum' is pass-level; teams below minimum on core deliverables should receive targeted buddy support.</w:t>
      </w:r>
    </w:p>
    <w:p>
      <w:pPr>
        <w:pStyle w:val="Heading1"/>
      </w:pPr>
      <w:r>
        <w:rPr>
          <w:rFonts w:ascii="Calibri" w:hAnsi="Calibri"/>
          <w:color w:val="1B2A4A"/>
        </w:rPr>
        <w:t>Summary table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72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WS</w:t>
            </w:r>
          </w:p>
        </w:tc>
        <w:tc>
          <w:tcPr>
            <w:tcW w:type="dxa" w:w="115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Due</w:t>
            </w:r>
          </w:p>
        </w:tc>
        <w:tc>
          <w:tcPr>
            <w:tcW w:type="dxa" w:w="10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Minimum acceptable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Project Charter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Tue 14 Jul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 + Excel RACI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Charter signed; RACI has one accountable owner per deliverable; cross-audit process agreed.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Missing signatures; vague scope; no named WS-A/WS-B leads.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A1 - Problem statement and issue tree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Wed 15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Board question reframed clearly; hypotheses map to data room; no overlap between branches.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Restates handbook verbatim; generic tree; no hypotheses.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A1b - Stakeholder map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Thu 16 Jul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Stars match interview priority (VPBank, field staff, beneficiaries, board faction, employers).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Generic list; no sources; ignores D-08 as low-trust source.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Credibility matrix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Thu 16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D-02 and D-12 rated high; D-08 rated low; contradictions noted.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All sources rated 'high'; no justification.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B1 - Data quality report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Tue 21 Jul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Duplicates, coding, typo wage, DN double-entry, text funding row all addressed.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Silent cleaning; outliers deleted without note; claims 100% clean data.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A2 - Interview synthesis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Wed 22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Themes: transport, employer quality, metric integrity, scale vs quality; cites ST/BN/DN/EP codes.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Quote dump by person; no contradictions; no citations.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A3 - Empathy and journey maps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Wed 22 Jul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Internship stage shows transport cost and employer exploitation; links to ST-05 and EP-02.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Generic persona; no quotes; no data link.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B2 - Performance dashboard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Fri 24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Excel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DN and Long An flagged red; disability gap visible; formal vs broad rate shown or footnoted.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Chart titled 'Dashboard'; DN hidden; single blended rate with no definition.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B3 - Analysis summary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Wed 29 Jul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Attendance correlates with placement but transport/motivation confound; mentor hours weak association.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Claims attendance causes placement; ignores confounders.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A4 - Strategic options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Thu 30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Options differ on scale timing (pause vs conditional scale vs employer pivot vs digital hybrid).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Three variants of 'scale more'; no financial check; no ethics.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B4 - Evidence-check memo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Fri 31 Jul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Flags if aggressive growth cannot hold 65% without cherry-picking (ED-01).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Rubber-stamps WS-A without data challenge.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A5 - Ethical analysis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Wed 5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Engages metric integrity and easiest-to-place tension with numbers.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Generic ethics platitudes; fewer than three dilemmas.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A6 - Validation protocol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Wed 5 Aug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Recommendation on Dong Nai cites ST-05, BN-02, EP-02 and dashboard DN rate.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Validation after the fact; fewer than six citations.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B5 - Funding scenarios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Thu 6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Excel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Aggressive scenario shows staffing gap and 65% at risk; hold scenario may forfeit scale target.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Scenarios ignore unit costs; assumes 65% holds automatically.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A7 - Revision log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Thu 6 Aug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Example: dropped Long An expansion after BN-02 and DN dashboard review.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Empty log or cosmetic edits only.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Executive summary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Fri 7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Board-ready; cites strongest evidence; states what is still unknown.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Buries recommendation; no limitations.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Final report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Fri 14 Aug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Integrates WS-A narrative and WS-B evidence; ethics and risks included.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WS-A and WS-B contradict; unsourced claims.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Board presentation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Thu 13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PowerPoint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Opens with decision needed; one chart per insight; ends with specific Board asks.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Data dump; decorative slides; no clear ask.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A"/>
        </w:rPr>
        <w:t>Detailed requirements by deliverable</w:t>
      </w:r>
    </w:p>
    <w:p>
      <w:pPr>
        <w:pStyle w:val="Heading2"/>
      </w:pPr>
      <w:r>
        <w:rPr>
          <w:rFonts w:ascii="Calibri" w:hAnsi="Calibri"/>
          <w:color w:val="1B2A4A"/>
        </w:rPr>
        <w:t>Project Charter (All, due Tue 14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Team names, roles, scope, ways of working, all signatures by deadline.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Charter signed; RACI has one accountable owner per deliverable; cross-audit process agreed.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Missing signatures; vague scope; no named WS-A/WS-B leads.</w:t>
      </w:r>
    </w:p>
    <w:p>
      <w:pPr>
        <w:pStyle w:val="Heading2"/>
      </w:pPr>
      <w:r>
        <w:rPr>
          <w:rFonts w:ascii="Calibri" w:hAnsi="Calibri"/>
          <w:color w:val="1B2A4A"/>
        </w:rPr>
        <w:t>A1 - Problem statement and issue tree (A, due Wed 15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One precise problem sentence; MECE branches (programmes, geography, funding, operations, measurement); 4+ testable hypotheses with stated evidence sources.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Board question reframed clearly; hypotheses map to data room; no overlap between branches.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Restates handbook verbatim; generic tree; no hypotheses.</w:t>
      </w:r>
    </w:p>
    <w:p>
      <w:pPr>
        <w:pStyle w:val="Heading2"/>
      </w:pPr>
      <w:r>
        <w:rPr>
          <w:rFonts w:ascii="Calibri" w:hAnsi="Calibri"/>
          <w:color w:val="1B2A4A"/>
        </w:rPr>
        <w:t>A1b - Stakeholder map (A, due Thu 16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Power/interest grid; five starred stakeholders with cited sources.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Stars match interview priority (VPBank, field staff, beneficiaries, board faction, employers).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Generic list; no sources; ignores D-08 as low-trust source.</w:t>
      </w:r>
    </w:p>
    <w:p>
      <w:pPr>
        <w:pStyle w:val="Heading2"/>
      </w:pPr>
      <w:r>
        <w:rPr>
          <w:rFonts w:ascii="Calibri" w:hAnsi="Calibri"/>
          <w:color w:val="1B2A4A"/>
        </w:rPr>
        <w:t>Credibility matrix (All, due Thu 16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Every D-01 to D-12 source rated H/M/L with one-sentence justification.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D-02 and D-12 rated high; D-08 rated low; contradictions noted.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All sources rated 'high'; no justification.</w:t>
      </w:r>
    </w:p>
    <w:p>
      <w:pPr>
        <w:pStyle w:val="Heading2"/>
      </w:pPr>
      <w:r>
        <w:rPr>
          <w:rFonts w:ascii="Calibri" w:hAnsi="Calibri"/>
          <w:color w:val="1B2A4A"/>
        </w:rPr>
        <w:t>B1 - Data quality report (B, due Tue 21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All DC-01 to DC-13 issues found or consciously checked; cleaning decisions logged.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Duplicates, coding, typo wage, DN double-entry, text funding row all addressed.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Silent cleaning; outliers deleted without note; claims 100% clean data.</w:t>
      </w:r>
    </w:p>
    <w:p>
      <w:pPr>
        <w:pStyle w:val="Heading2"/>
      </w:pPr>
      <w:r>
        <w:rPr>
          <w:rFonts w:ascii="Calibri" w:hAnsi="Calibri"/>
          <w:color w:val="1B2A4A"/>
        </w:rPr>
        <w:t>A2 - Interview synthesis (A, due Wed 22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Thematic summary with transcript refs; contradictions flagged (YouthWorks, placement definition).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Themes: transport, employer quality, metric integrity, scale vs quality; cites ST/BN/DN/EP codes.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Quote dump by person; no contradictions; no citations.</w:t>
      </w:r>
    </w:p>
    <w:p>
      <w:pPr>
        <w:pStyle w:val="Heading2"/>
      </w:pPr>
      <w:r>
        <w:rPr>
          <w:rFonts w:ascii="Calibri" w:hAnsi="Calibri"/>
          <w:color w:val="1B2A4A"/>
        </w:rPr>
        <w:t>A3 - Empathy and journey maps (A, due Wed 22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One archetype (e.g. Dong Nai withdrawer); quotes from BN-02/Tuan; pain points quantified where possible.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Internship stage shows transport cost and employer exploitation; links to ST-05 and EP-02.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Generic persona; no quotes; no data link.</w:t>
      </w:r>
    </w:p>
    <w:p>
      <w:pPr>
        <w:pStyle w:val="Heading2"/>
      </w:pPr>
      <w:r>
        <w:rPr>
          <w:rFonts w:ascii="Calibri" w:hAnsi="Calibri"/>
          <w:color w:val="1B2A4A"/>
        </w:rPr>
        <w:t>B2 - Performance dashboard (B, due Fri 24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Placement by hub/programme/gender; conditional formatting below 65%; three insight-titled charts.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DN and Long An flagged red; disability gap visible; formal vs broad rate shown or footnoted.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Chart titled 'Dashboard'; DN hidden; single blended rate with no definition.</w:t>
      </w:r>
    </w:p>
    <w:p>
      <w:pPr>
        <w:pStyle w:val="Heading2"/>
      </w:pPr>
      <w:r>
        <w:rPr>
          <w:rFonts w:ascii="Calibri" w:hAnsi="Calibri"/>
          <w:color w:val="1B2A4A"/>
        </w:rPr>
        <w:t>B3 - Analysis summary (B, due Wed 29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Headline findings with evidence and caveats; DB-3 confounders named; DB-4 no causation claim.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Attendance correlates with placement but transport/motivation confound; mentor hours weak association.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Claims attendance causes placement; ignores confounders.</w:t>
      </w:r>
    </w:p>
    <w:p>
      <w:pPr>
        <w:pStyle w:val="Heading2"/>
      </w:pPr>
      <w:r>
        <w:rPr>
          <w:rFonts w:ascii="Calibri" w:hAnsi="Calibri"/>
          <w:color w:val="1B2A4A"/>
        </w:rPr>
        <w:t>A4 - Strategic options (A, due Thu 30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2-3 genuinely distinct options with cost, risks, winners/losers; one recommendation + change-my-mind trigger.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Options differ on scale timing (pause vs conditional scale vs employer pivot vs digital hybrid).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Three variants of 'scale more'; no financial check; no ethics.</w:t>
      </w:r>
    </w:p>
    <w:p>
      <w:pPr>
        <w:pStyle w:val="Heading2"/>
      </w:pPr>
      <w:r>
        <w:rPr>
          <w:rFonts w:ascii="Calibri" w:hAnsi="Calibri"/>
          <w:color w:val="1B2A4A"/>
        </w:rPr>
        <w:t>B4 - Evidence-check memo (B, due Fri 31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Each WS-A option tested against cleaned data and D-12/D-03 feasibility.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Flags if aggressive growth cannot hold 65% without cherry-picking (ED-01).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Rubber-stamps WS-A without data challenge.</w:t>
      </w:r>
    </w:p>
    <w:p>
      <w:pPr>
        <w:pStyle w:val="Heading2"/>
      </w:pPr>
      <w:r>
        <w:rPr>
          <w:rFonts w:ascii="Calibri" w:hAnsi="Calibri"/>
          <w:color w:val="1B2A4A"/>
        </w:rPr>
        <w:t>A5 - Ethical analysis (A, due Wed 5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Minimum three of ED-01 to ED-06 with tension, stakeholders, position, residual risk.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Engages metric integrity and easiest-to-place tension with numbers.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Generic ethics platitudes; fewer than three dilemmas.</w:t>
      </w:r>
    </w:p>
    <w:p>
      <w:pPr>
        <w:pStyle w:val="Heading2"/>
      </w:pPr>
      <w:r>
        <w:rPr>
          <w:rFonts w:ascii="Calibri" w:hAnsi="Calibri"/>
          <w:color w:val="1B2A4A"/>
        </w:rPr>
        <w:t>A6 - Validation protocol (All, due Wed 5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6+ citations: 2+ BN, 2+ ST, 1 DN, 1 EP; maps recommendations to support/challenge.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Recommendation on Dong Nai cites ST-05, BN-02, EP-02 and dashboard DN rate.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Validation after the fact; fewer than six citations.</w:t>
      </w:r>
    </w:p>
    <w:p>
      <w:pPr>
        <w:pStyle w:val="Heading2"/>
      </w:pPr>
      <w:r>
        <w:rPr>
          <w:rFonts w:ascii="Calibri" w:hAnsi="Calibri"/>
          <w:color w:val="1B2A4A"/>
        </w:rPr>
        <w:t>B5 - Funding scenarios (B, due Thu 6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Hold / +30% / +80% growth using D-12 unit costs and D-03 VPBank terms.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Aggressive scenario shows staffing gap and 65% at risk; hold scenario may forfeit scale target.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Scenarios ignore unit costs; assumes 65% holds automatically.</w:t>
      </w:r>
    </w:p>
    <w:p>
      <w:pPr>
        <w:pStyle w:val="Heading2"/>
      </w:pPr>
      <w:r>
        <w:rPr>
          <w:rFonts w:ascii="Calibri" w:hAnsi="Calibri"/>
          <w:color w:val="1B2A4A"/>
        </w:rPr>
        <w:t>A7 - Revision log (All, due Thu 6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At least one substantive change after validation documented.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Example: dropped Long An expansion after BN-02 and DN dashboard review.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Empty log or cosmetic edits only.</w:t>
      </w:r>
    </w:p>
    <w:p>
      <w:pPr>
        <w:pStyle w:val="Heading2"/>
      </w:pPr>
      <w:r>
        <w:rPr>
          <w:rFonts w:ascii="Calibri" w:hAnsi="Calibri"/>
          <w:color w:val="1B2A4A"/>
        </w:rPr>
        <w:t>Executive summary (All, due Fri 7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One-sentence key message; recommendation; 90-day roadmap; honest limitations.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Board-ready; cites strongest evidence; states what is still unknown.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Buries recommendation; no limitations.</w:t>
      </w:r>
    </w:p>
    <w:p>
      <w:pPr>
        <w:pStyle w:val="Heading2"/>
      </w:pPr>
      <w:r>
        <w:rPr>
          <w:rFonts w:ascii="Calibri" w:hAnsi="Calibri"/>
          <w:color w:val="1B2A4A"/>
        </w:rPr>
        <w:t>Final report (All, due Fri 14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15-25 pages; all sections; every claim sourced; placement definition stated.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Integrates WS-A narrative and WS-B evidence; ethics and risks included.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WS-A and WS-B contradict; unsourced claims.</w:t>
      </w:r>
    </w:p>
    <w:p>
      <w:pPr>
        <w:pStyle w:val="Heading2"/>
      </w:pPr>
      <w:r>
        <w:rPr>
          <w:rFonts w:ascii="Calibri" w:hAnsi="Calibri"/>
          <w:color w:val="1B2A4A"/>
        </w:rPr>
        <w:t>Board presentation (All, due Thu 13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Answer-first slide titles; recommendation upfront; Dong Nai and formal rate not hidden.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Opens with decision needed; one chart per insight; ends with specific Board asks.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Data dump; decorative slides; no clear ask.</w:t>
      </w:r>
    </w:p>
    <w:p>
      <w:pPr>
        <w:pStyle w:val="Heading1"/>
      </w:pPr>
      <w:r>
        <w:rPr>
          <w:rFonts w:ascii="Calibri" w:hAnsi="Calibri"/>
          <w:color w:val="1B2A4A"/>
        </w:rPr>
        <w:t>Board presentation - non-negotiables</w:t>
      </w:r>
    </w:p>
    <w:p>
      <w:pPr>
        <w:pStyle w:val="ListBullet"/>
        <w:ind w:left="360"/>
      </w:pPr>
      <w:r>
        <w:rPr>
          <w:rFonts w:ascii="Calibri" w:hAnsi="Calibri"/>
        </w:rPr>
        <w:t>States placement definition used and shows formal vs broad if both discussed.</w:t>
      </w:r>
    </w:p>
    <w:p>
      <w:pPr>
        <w:pStyle w:val="ListBullet"/>
        <w:ind w:left="360"/>
      </w:pPr>
      <w:r>
        <w:rPr>
          <w:rFonts w:ascii="Calibri" w:hAnsi="Calibri"/>
        </w:rPr>
        <w:t>Names Dong Nai underperformance or explains why recommendation still scales there.</w:t>
      </w:r>
    </w:p>
    <w:p>
      <w:pPr>
        <w:pStyle w:val="ListBullet"/>
        <w:ind w:left="360"/>
      </w:pPr>
      <w:r>
        <w:rPr>
          <w:rFonts w:ascii="Calibri" w:hAnsi="Calibri"/>
        </w:rPr>
        <w:t>Engages at least one ethical trade-off with a clear position.</w:t>
      </w:r>
    </w:p>
    <w:p>
      <w:pPr>
        <w:pStyle w:val="ListBullet"/>
        <w:ind w:left="360"/>
      </w:pPr>
      <w:r>
        <w:rPr>
          <w:rFonts w:ascii="Calibri" w:hAnsi="Calibri"/>
        </w:rPr>
        <w:t>Ends with specific decisions requested from the Board.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