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07A87"/>
          <w:sz w:val="24"/>
        </w:rPr>
        <w:t>Momentum Programme   |   Scaling with Integrity</w:t>
      </w:r>
    </w:p>
    <w:p>
      <w:pPr>
        <w:spacing w:after="40"/>
      </w:pPr>
      <w:r>
        <w:rPr>
          <w:b/>
          <w:color w:val="1B2A4A"/>
          <w:sz w:val="48"/>
        </w:rPr>
        <w:t>Strategic Solution Paths</w:t>
      </w:r>
    </w:p>
    <w:p>
      <w:r>
        <w:rPr>
          <w:i/>
          <w:color w:val="666666"/>
          <w:sz w:val="24"/>
        </w:rPr>
        <w:t>Defensible recommendations and marking red lines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Client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  <w:t>Generation Bridge Foundation</w:t>
            </w:r>
          </w:p>
        </w:tc>
      </w:tr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Document reference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  <w:t>GBF Case Key</w:t>
            </w:r>
          </w:p>
        </w:tc>
      </w:tr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Classification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  <w:t>ANSWER KEY - FACILITATOR ONLY</w:t>
            </w:r>
          </w:p>
        </w:tc>
      </w:tr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Version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  <w:t>2.0 | July 2026</w:t>
            </w:r>
          </w:p>
        </w:tc>
      </w:tr>
    </w:tbl>
    <w:p/>
    <w:p>
      <w:pPr>
        <w:pBdr>
          <w:bottom w:val="single" w:sz="8" w:space="1" w:color="007A87"/>
        </w:pBdr>
      </w:pPr>
    </w:p>
    <w:p>
      <w:pPr>
        <w:spacing w:after="120"/>
      </w:pPr>
      <w:r>
        <w:rPr>
          <w:rFonts w:ascii="Calibri" w:hAnsi="Calibri"/>
          <w:b w:val="0"/>
          <w:i w:val="0"/>
          <w:color w:val="222222"/>
          <w:sz w:val="22"/>
        </w:rPr>
        <w:t>There is no single correct strategy. Reward evidence-based reasoning. The paths below are strong; weak teams pick a slogan and ignore contradicting evidence.</w:t>
      </w:r>
    </w:p>
    <w:p>
      <w:pPr>
        <w:pStyle w:val="Heading2"/>
      </w:pPr>
      <w:r>
        <w:rPr>
          <w:rFonts w:ascii="Calibri" w:hAnsi="Calibri"/>
          <w:color w:val="1B2A4A"/>
        </w:rPr>
        <w:t>Path A - Depth before scale</w:t>
      </w:r>
    </w:p>
    <w:p>
      <w:pPr>
        <w:spacing w:after="120"/>
      </w:pPr>
      <w:r>
        <w:rPr>
          <w:rFonts w:ascii="Calibri" w:hAnsi="Calibri"/>
          <w:b w:val="0"/>
          <w:i w:val="0"/>
          <w:color w:val="222222"/>
          <w:sz w:val="22"/>
        </w:rPr>
        <w:t>Thesis: Pause expansion; fix Dong Nai and employer quality; negotiate a smaller quality-focused VPBank grant.</w:t>
      </w:r>
    </w:p>
    <w:p>
      <w:pPr>
        <w:spacing w:after="120"/>
      </w:pPr>
      <w:r>
        <w:rPr>
          <w:rFonts w:ascii="Calibri" w:hAnsi="Calibri"/>
          <w:b w:val="0"/>
          <w:i w:val="0"/>
          <w:color w:val="222222"/>
          <w:sz w:val="22"/>
        </w:rPr>
        <w:t>Strengths: Honest about D-02; addresses EP-02, ST-05, BN-02; sustainable operations.</w:t>
      </w:r>
    </w:p>
    <w:p>
      <w:pPr>
        <w:spacing w:after="120"/>
      </w:pPr>
      <w:r>
        <w:rPr>
          <w:rFonts w:ascii="Calibri" w:hAnsi="Calibri"/>
          <w:b w:val="0"/>
          <w:i w:val="0"/>
          <w:color w:val="222222"/>
          <w:sz w:val="22"/>
        </w:rPr>
        <w:t>Risks to probe in Q&amp;A: May leave funding on the table; must convince VPBank with a credible theory of change (DN-01).</w:t>
      </w:r>
    </w:p>
    <w:p>
      <w:pPr>
        <w:pStyle w:val="Heading2"/>
      </w:pPr>
      <w:r>
        <w:rPr>
          <w:rFonts w:ascii="Calibri" w:hAnsi="Calibri"/>
          <w:color w:val="1B2A4A"/>
        </w:rPr>
        <w:t>Path B - Conditional scale (most common strong answer)</w:t>
      </w:r>
    </w:p>
    <w:p>
      <w:pPr>
        <w:spacing w:after="120"/>
      </w:pPr>
      <w:r>
        <w:rPr>
          <w:rFonts w:ascii="Calibri" w:hAnsi="Calibri"/>
          <w:b w:val="0"/>
          <w:i w:val="0"/>
          <w:color w:val="222222"/>
          <w:sz w:val="22"/>
        </w:rPr>
        <w:t>Thesis: Accept VPBank but gate expansion behind quality milestones; fix Dong Nai first, then Long An.</w:t>
      </w:r>
    </w:p>
    <w:p>
      <w:pPr>
        <w:spacing w:after="120"/>
      </w:pPr>
      <w:r>
        <w:rPr>
          <w:rFonts w:ascii="Calibri" w:hAnsi="Calibri"/>
          <w:b w:val="0"/>
          <w:i w:val="0"/>
          <w:color w:val="222222"/>
          <w:sz w:val="22"/>
        </w:rPr>
        <w:t>Strengths: Balances donor pressure and field reality; stages risk; keeps the grant.</w:t>
      </w:r>
    </w:p>
    <w:p>
      <w:pPr>
        <w:spacing w:after="120"/>
      </w:pPr>
      <w:r>
        <w:rPr>
          <w:rFonts w:ascii="Calibri" w:hAnsi="Calibri"/>
          <w:b w:val="0"/>
          <w:i w:val="0"/>
          <w:color w:val="222222"/>
          <w:sz w:val="22"/>
        </w:rPr>
        <w:t>Risks to probe in Q&amp;A: Execution-heavy; requires M&amp;E discipline teams must propose credibly.</w:t>
      </w:r>
    </w:p>
    <w:p>
      <w:pPr>
        <w:pStyle w:val="Heading2"/>
      </w:pPr>
      <w:r>
        <w:rPr>
          <w:rFonts w:ascii="Calibri" w:hAnsi="Calibri"/>
          <w:color w:val="1B2A4A"/>
        </w:rPr>
        <w:t>Path C - Employer-led pivot</w:t>
      </w:r>
    </w:p>
    <w:p>
      <w:pPr>
        <w:spacing w:after="120"/>
      </w:pPr>
      <w:r>
        <w:rPr>
          <w:rFonts w:ascii="Calibri" w:hAnsi="Calibri"/>
          <w:b w:val="0"/>
          <w:i w:val="0"/>
          <w:color w:val="222222"/>
          <w:sz w:val="22"/>
        </w:rPr>
        <w:t>Thesis: Audit and certify employers; place only with vetted partners; make quality the brand.</w:t>
      </w:r>
    </w:p>
    <w:p>
      <w:pPr>
        <w:spacing w:after="120"/>
      </w:pPr>
      <w:r>
        <w:rPr>
          <w:rFonts w:ascii="Calibri" w:hAnsi="Calibri"/>
          <w:b w:val="0"/>
          <w:i w:val="0"/>
          <w:color w:val="222222"/>
          <w:sz w:val="22"/>
        </w:rPr>
        <w:t>Strengths: Answers EP-02 and ST-05 directly; differentiates from YouthWorks on outcomes not speed.</w:t>
      </w:r>
    </w:p>
    <w:p>
      <w:pPr>
        <w:spacing w:after="120"/>
      </w:pPr>
      <w:r>
        <w:rPr>
          <w:rFonts w:ascii="Calibri" w:hAnsi="Calibri"/>
          <w:b w:val="0"/>
          <w:i w:val="0"/>
          <w:color w:val="222222"/>
          <w:sz w:val="22"/>
        </w:rPr>
        <w:t>Risks to probe in Q&amp;A: Slower growth; depends on employer cooperation.</w:t>
      </w:r>
    </w:p>
    <w:p>
      <w:pPr>
        <w:pStyle w:val="Heading2"/>
      </w:pPr>
      <w:r>
        <w:rPr>
          <w:rFonts w:ascii="Calibri" w:hAnsi="Calibri"/>
          <w:color w:val="1B2A4A"/>
        </w:rPr>
        <w:t>Path D - Digital hybrid</w:t>
      </w:r>
    </w:p>
    <w:p>
      <w:pPr>
        <w:spacing w:after="120"/>
      </w:pPr>
      <w:r>
        <w:rPr>
          <w:rFonts w:ascii="Calibri" w:hAnsi="Calibri"/>
          <w:b w:val="0"/>
          <w:i w:val="0"/>
          <w:color w:val="222222"/>
          <w:sz w:val="22"/>
        </w:rPr>
        <w:t>Thesis: Grow Pathway Digital for reach; keep Skills Forward for depth and placement quality.</w:t>
      </w:r>
    </w:p>
    <w:p>
      <w:pPr>
        <w:spacing w:after="120"/>
      </w:pPr>
      <w:r>
        <w:rPr>
          <w:rFonts w:ascii="Calibri" w:hAnsi="Calibri"/>
          <w:b w:val="0"/>
          <w:i w:val="0"/>
          <w:color w:val="222222"/>
          <w:sz w:val="22"/>
        </w:rPr>
        <w:t>Strengths: Lower unit cost (D-12); addresses waitlist pressure.</w:t>
      </w:r>
    </w:p>
    <w:p>
      <w:pPr>
        <w:spacing w:after="120"/>
      </w:pPr>
      <w:r>
        <w:rPr>
          <w:rFonts w:ascii="Calibri" w:hAnsi="Calibri"/>
          <w:b w:val="0"/>
          <w:i w:val="0"/>
          <w:color w:val="222222"/>
          <w:sz w:val="22"/>
        </w:rPr>
        <w:t>Risks to probe in Q&amp;A: Digital placement weaker; equity risk (BN-01); only strong with explicit caveats.</w:t>
      </w:r>
    </w:p>
    <w:p>
      <w:pPr>
        <w:pStyle w:val="Heading1"/>
      </w:pPr>
      <w:r>
        <w:rPr>
          <w:rFonts w:ascii="Calibri" w:hAnsi="Calibri"/>
          <w:color w:val="1B2A4A"/>
        </w:rPr>
        <w:t>Red lines - mark down if recommended</w:t>
      </w:r>
    </w:p>
    <w:p>
      <w:pPr>
        <w:pStyle w:val="ListBullet"/>
        <w:ind w:left="360"/>
      </w:pPr>
      <w:r>
        <w:rPr>
          <w:rFonts w:ascii="Calibri" w:hAnsi="Calibri"/>
        </w:rPr>
        <w:t>Reporting placement at 60 days as the primary metric (contradicts D-03, DN-01, ED-02).</w:t>
      </w:r>
    </w:p>
    <w:p>
      <w:pPr>
        <w:pStyle w:val="ListBullet"/>
        <w:ind w:left="360"/>
      </w:pPr>
      <w:r>
        <w:rPr>
          <w:rFonts w:ascii="Calibri" w:hAnsi="Calibri"/>
        </w:rPr>
        <w:t>Replacing paid caseworkers with volunteers (contradicts VR-01, ED-03).</w:t>
      </w:r>
    </w:p>
    <w:p>
      <w:pPr>
        <w:pStyle w:val="ListBullet"/>
        <w:ind w:left="360"/>
      </w:pPr>
      <w:r>
        <w:rPr>
          <w:rFonts w:ascii="Calibri" w:hAnsi="Calibri"/>
        </w:rPr>
        <w:t>National or provincial scale with no plan to fix Dong Nai.</w:t>
      </w:r>
    </w:p>
    <w:p>
      <w:pPr>
        <w:pStyle w:val="ListBullet"/>
        <w:ind w:left="360"/>
      </w:pPr>
      <w:r>
        <w:rPr>
          <w:rFonts w:ascii="Calibri" w:hAnsi="Calibri"/>
        </w:rPr>
        <w:t>Cherry-picking easier-to-place youth to hit 65% without acknowledging ED-01.</w:t>
      </w:r>
    </w:p>
    <w:p>
      <w:pPr>
        <w:pStyle w:val="ListBullet"/>
        <w:ind w:left="360"/>
      </w:pPr>
      <w:r>
        <w:rPr>
          <w:rFonts w:ascii="Calibri" w:hAnsi="Calibri"/>
        </w:rPr>
        <w:t>Treating D-08 board emails as verified fact.</w:t>
      </w:r>
    </w:p>
    <w:p>
      <w:pPr>
        <w:pStyle w:val="ListBullet"/>
        <w:ind w:left="360"/>
      </w:pPr>
      <w:r>
        <w:rPr>
          <w:rFonts w:ascii="Calibri" w:hAnsi="Calibri"/>
        </w:rPr>
        <w:t>Claiming attendance causes placement without naming confounders.</w:t>
      </w:r>
    </w:p>
    <w:sectPr w:rsidR="00FC693F" w:rsidRPr="0006063C" w:rsidSect="00034616">
      <w:pgSz w:w="12240" w:h="15840"/>
      <w:pgMar w:top="1361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