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Data Task Solutions</w:t>
      </w:r>
    </w:p>
    <w:p>
      <w:r>
        <w:rPr>
          <w:i/>
          <w:color w:val="666666"/>
          <w:sz w:val="24"/>
        </w:rPr>
        <w:t>CONFIDENTIAL - expected findings and pitfalls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1"/>
      </w:pPr>
      <w:r>
        <w:rPr>
          <w:rFonts w:ascii="Calibri" w:hAnsi="Calibri"/>
          <w:color w:val="1B2A4A"/>
        </w:rPr>
        <w:t>DB-1 Data quality - what they should find</w:t>
      </w:r>
    </w:p>
    <w:p>
      <w:pPr>
        <w:pStyle w:val="ListBullet"/>
        <w:ind w:left="360"/>
      </w:pPr>
      <w:r>
        <w:rPr>
          <w:rFonts w:ascii="Calibri" w:hAnsi="Calibri"/>
        </w:rPr>
        <w:t>Duplicate beneficiary IDs (built in) - de-duplicate before counting.</w:t>
      </w:r>
    </w:p>
    <w:p>
      <w:pPr>
        <w:pStyle w:val="ListBullet"/>
        <w:ind w:left="360"/>
      </w:pPr>
      <w:r>
        <w:rPr>
          <w:rFonts w:ascii="Calibri" w:hAnsi="Calibri"/>
        </w:rPr>
        <w:t>placed_90d coded as Y/Yes/1/N/No/0/blank - normalise.</w:t>
      </w:r>
    </w:p>
    <w:p>
      <w:pPr>
        <w:pStyle w:val="ListBullet"/>
        <w:ind w:left="360"/>
      </w:pPr>
      <w:r>
        <w:rPr>
          <w:rFonts w:ascii="Calibri" w:hAnsi="Calibri"/>
        </w:rPr>
        <w:t>Mixed date formats across tables.</w:t>
      </w:r>
    </w:p>
    <w:p>
      <w:pPr>
        <w:pStyle w:val="ListBullet"/>
        <w:ind w:left="360"/>
      </w:pPr>
      <w:r>
        <w:rPr>
          <w:rFonts w:ascii="Calibri" w:hAnsi="Calibri"/>
        </w:rPr>
        <w:t>A wage outlier (obvious typo) on one record.</w:t>
      </w:r>
    </w:p>
    <w:p>
      <w:pPr>
        <w:pStyle w:val="ListBullet"/>
        <w:ind w:left="360"/>
      </w:pPr>
      <w:r>
        <w:rPr>
          <w:rFonts w:ascii="Calibri" w:hAnsi="Calibri"/>
        </w:rPr>
        <w:t>Dong Nai Q3 costs double-entered in hub_costs_2025.</w:t>
      </w:r>
    </w:p>
    <w:p>
      <w:pPr>
        <w:pStyle w:val="ListBullet"/>
        <w:ind w:left="360"/>
      </w:pPr>
      <w:r>
        <w:rPr>
          <w:rFonts w:ascii="Calibri" w:hAnsi="Calibri"/>
        </w:rPr>
        <w:t>Hours logged against an inactive mentor in volunteer_hours.</w:t>
      </w:r>
    </w:p>
    <w:p>
      <w:pPr>
        <w:pStyle w:val="ListBullet"/>
        <w:ind w:left="360"/>
      </w:pPr>
      <w:r>
        <w:rPr>
          <w:rFonts w:ascii="Calibri" w:hAnsi="Calibri"/>
        </w:rPr>
        <w:t>'HCMC' vs 'Ho Chi Minh City' inconsistency.</w:t>
      </w:r>
    </w:p>
    <w:p>
      <w:pPr>
        <w:pStyle w:val="Heading1"/>
      </w:pPr>
      <w:r>
        <w:rPr>
          <w:rFonts w:ascii="Calibri" w:hAnsi="Calibri"/>
          <w:color w:val="1B2A4A"/>
        </w:rPr>
        <w:t>DB-2/DB-3 expected patterns</w:t>
      </w:r>
    </w:p>
    <w:p>
      <w:pPr>
        <w:pStyle w:val="ListBullet"/>
        <w:ind w:left="360"/>
      </w:pPr>
      <w:r>
        <w:rPr>
          <w:rFonts w:ascii="Calibri" w:hAnsi="Calibri"/>
        </w:rPr>
        <w:t>Dong Nai placement clearly below HCMC hubs.</w:t>
      </w:r>
    </w:p>
    <w:p>
      <w:pPr>
        <w:pStyle w:val="ListBullet"/>
        <w:ind w:left="360"/>
      </w:pPr>
      <w:r>
        <w:rPr>
          <w:rFonts w:ascii="Calibri" w:hAnsi="Calibri"/>
        </w:rPr>
        <w:t>Formal-only rate roughly 8 points below the broad rate (aligns with ST-02).</w:t>
      </w:r>
    </w:p>
    <w:p>
      <w:pPr>
        <w:pStyle w:val="ListBullet"/>
        <w:ind w:left="360"/>
      </w:pPr>
      <w:r>
        <w:rPr>
          <w:rFonts w:ascii="Calibri" w:hAnsi="Calibri"/>
        </w:rPr>
        <w:t>Higher attendance associates with placement - but confounded by transport/motivation.</w:t>
      </w:r>
    </w:p>
    <w:p>
      <w:pPr>
        <w:pStyle w:val="ListBullet"/>
        <w:ind w:left="360"/>
      </w:pPr>
      <w:r>
        <w:rPr>
          <w:rFonts w:ascii="Calibri" w:hAnsi="Calibri"/>
        </w:rPr>
        <w:t>Disability placement materially below overall (aligns with ST-03).</w:t>
      </w:r>
    </w:p>
    <w:p>
      <w:pPr>
        <w:pStyle w:val="Heading1"/>
      </w:pPr>
      <w:r>
        <w:rPr>
          <w:rFonts w:ascii="Calibri" w:hAnsi="Calibri"/>
          <w:color w:val="1B2A4A"/>
        </w:rPr>
        <w:t>DB-4 / DB-5</w:t>
      </w:r>
    </w:p>
    <w:p>
      <w:pPr>
        <w:pStyle w:val="ListBullet"/>
        <w:ind w:left="360"/>
      </w:pPr>
      <w:r>
        <w:rPr>
          <w:rFonts w:ascii="Calibri" w:hAnsi="Calibri"/>
        </w:rPr>
        <w:t>Mentor hours weakly associate with completion; do not overclaim causation.</w:t>
      </w:r>
    </w:p>
    <w:p>
      <w:pPr>
        <w:pStyle w:val="ListBullet"/>
        <w:ind w:left="360"/>
      </w:pPr>
      <w:r>
        <w:rPr>
          <w:rFonts w:ascii="Calibri" w:hAnsi="Calibri"/>
        </w:rPr>
        <w:t>Aggressive growth struggles to hold 65% honestly without cherry-picking - the ED-01 tension.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