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Debrief Guide &amp; FAQ</w:t>
      </w:r>
    </w:p>
    <w:p>
      <w:r>
        <w:rPr>
          <w:i/>
          <w:color w:val="666666"/>
          <w:sz w:val="24"/>
        </w:rPr>
        <w:t>Run a 90-minute debrief; answer common questions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Calibri" w:hAnsi="Calibri"/>
          <w:color w:val="1B2A4A"/>
        </w:rPr>
        <w:t>Debrief flow (90 minutes)</w:t>
      </w:r>
    </w:p>
    <w:p>
      <w:pPr>
        <w:pStyle w:val="ListNumber"/>
        <w:ind w:left="360"/>
      </w:pPr>
      <w:r>
        <w:rPr>
          <w:rFonts w:ascii="Calibri" w:hAnsi="Calibri"/>
        </w:rPr>
        <w:t>Team reflection (15 min): what surprised you?</w:t>
      </w:r>
    </w:p>
    <w:p>
      <w:pPr>
        <w:pStyle w:val="ListNumber"/>
        <w:ind w:left="360"/>
      </w:pPr>
      <w:r>
        <w:rPr>
          <w:rFonts w:ascii="Calibri" w:hAnsi="Calibri"/>
        </w:rPr>
        <w:t>Evidence round (20 min): each team names the fact that changed their mind.</w:t>
      </w:r>
    </w:p>
    <w:p>
      <w:pPr>
        <w:pStyle w:val="ListNumber"/>
        <w:ind w:left="360"/>
      </w:pPr>
      <w:r>
        <w:rPr>
          <w:rFonts w:ascii="Calibri" w:hAnsi="Calibri"/>
        </w:rPr>
        <w:t>Ethics round (20 min): how did you resolve ED-01 and ED-02?</w:t>
      </w:r>
    </w:p>
    <w:p>
      <w:pPr>
        <w:pStyle w:val="ListNumber"/>
        <w:ind w:left="360"/>
      </w:pPr>
      <w:r>
        <w:rPr>
          <w:rFonts w:ascii="Calibri" w:hAnsi="Calibri"/>
        </w:rPr>
        <w:t>Reveal (20 min): show the multiple valid paths; there was no single answer.</w:t>
      </w:r>
    </w:p>
    <w:p>
      <w:pPr>
        <w:pStyle w:val="ListNumber"/>
        <w:ind w:left="360"/>
      </w:pPr>
      <w:r>
        <w:rPr>
          <w:rFonts w:ascii="Calibri" w:hAnsi="Calibri"/>
        </w:rPr>
        <w:t>Skills forward (15 min): one thing each person will practise next.</w:t>
      </w:r>
    </w:p>
    <w:p>
      <w:pPr>
        <w:pStyle w:val="Heading1"/>
      </w:pPr>
      <w:r>
        <w:rPr>
          <w:rFonts w:ascii="Calibri" w:hAnsi="Calibri"/>
          <w:color w:val="1B2A4A"/>
        </w:rPr>
        <w:t>Frequently asked questions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Can we collect more data or interview real NGO staff?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No. Everything required is in the pack. Managing incomplete information is part of the exercise; state your assumptions instead.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Which placement rate is correct?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Both are 'correct' under their definitions. The learning point is to state the definition and report honestly (D-01 footnote vs ST-02).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Is there a right recommendation?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No. Several paths are defensible (see Solution Paths). Judgement and evidence win.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