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Empathy &amp; Journey Map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Calibri" w:hAnsi="Calibri"/>
          <w:color w:val="1B2A4A"/>
        </w:rPr>
        <w:t>Chosen archetype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For example: a young person in Dong Nai who withdraws during the internship.</w:t>
      </w:r>
    </w:p>
    <w:p>
      <w:pPr>
        <w:pStyle w:val="Heading2"/>
      </w:pPr>
      <w:r>
        <w:rPr>
          <w:rFonts w:ascii="Calibri" w:hAnsi="Calibri"/>
          <w:color w:val="1B2A4A"/>
        </w:rPr>
        <w:t>Empathy map (cite quotes)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Says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Thinks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Does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Feels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Journey 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Emotion</w:t>
            </w:r>
          </w:p>
        </w:tc>
        <w:tc>
          <w:tcPr>
            <w:tcW w:type="dxa" w:w="187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Pain point</w:t>
            </w:r>
          </w:p>
        </w:tc>
        <w:tc>
          <w:tcPr>
            <w:tcW w:type="dxa" w:w="187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Awareness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Waitlist</w:t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Training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Internship</w:t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Job search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90-day outcome</w:t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