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Ethical Analysis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Address at least three dilemmas. Complete one block each.</w:t>
      </w:r>
    </w:p>
    <w:p>
      <w:pPr>
        <w:pStyle w:val="Heading2"/>
      </w:pPr>
      <w:r>
        <w:rPr>
          <w:rFonts w:ascii="Calibri" w:hAnsi="Calibri"/>
          <w:color w:val="1B2A4A"/>
        </w:rPr>
        <w:t>ED-01 Easiest versus most in need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The tension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Stakeholders affected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Our position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Residual risk accepted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ED-02 Metric integrity (60 vs 90 days)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The tension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Stakeholders affected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Our position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Residual risk accepted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ED-03 Volunteers versus paid staff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The tension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Stakeholders affected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Our position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Residual risk accepted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ED-04 AI intake chatbot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The tension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Stakeholders affected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Our position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Residual risk accepted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ED-05 Prevention versus treatment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The tension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Stakeholders affected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Our position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Residual risk accepted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ED-06 Social-enterprise conflict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The tension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Stakeholders affected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Our position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Residual risk accepted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