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Cross-Workstream Audit Checklist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No deliverable may be submitted until the other workstream has completed and signed its section of this checklist.</w:t>
      </w:r>
    </w:p>
    <w:p>
      <w:pPr>
        <w:pStyle w:val="Heading2"/>
      </w:pPr>
      <w:r>
        <w:rPr>
          <w:rFonts w:ascii="Calibri" w:hAnsi="Calibri"/>
          <w:color w:val="1B2A4A"/>
        </w:rPr>
        <w:t>Section A - Workstream A audits Workstream B</w:t>
      </w:r>
    </w:p>
    <w:p>
      <w:pPr>
        <w:pStyle w:val="ListBullet"/>
        <w:ind w:left="360"/>
      </w:pPr>
      <w:r>
        <w:rPr>
          <w:rFonts w:ascii="Calibri" w:hAnsi="Calibri"/>
        </w:rPr>
        <w:t>[  ]  Data cleaning choices are documented in the assumption log.</w:t>
      </w:r>
    </w:p>
    <w:p>
      <w:pPr>
        <w:pStyle w:val="ListBullet"/>
        <w:ind w:left="360"/>
      </w:pPr>
      <w:r>
        <w:rPr>
          <w:rFonts w:ascii="Calibri" w:hAnsi="Calibri"/>
        </w:rPr>
        <w:t>[  ]  The placement definition is stated explicitly.</w:t>
      </w:r>
    </w:p>
    <w:p>
      <w:pPr>
        <w:pStyle w:val="ListBullet"/>
        <w:ind w:left="360"/>
      </w:pPr>
      <w:r>
        <w:rPr>
          <w:rFonts w:ascii="Calibri" w:hAnsi="Calibri"/>
        </w:rPr>
        <w:t>[  ]  Charts are titled honestly and axes are not misleading.</w:t>
      </w:r>
    </w:p>
    <w:p>
      <w:pPr>
        <w:pStyle w:val="ListBullet"/>
        <w:ind w:left="360"/>
      </w:pPr>
      <w:r>
        <w:rPr>
          <w:rFonts w:ascii="Calibri" w:hAnsi="Calibri"/>
        </w:rPr>
        <w:t>[  ]  Outliers were investigated, not silently removed.</w:t>
      </w:r>
    </w:p>
    <w:p>
      <w:pPr>
        <w:pStyle w:val="ListBullet"/>
        <w:ind w:left="360"/>
      </w:pPr>
      <w:r>
        <w:rPr>
          <w:rFonts w:ascii="Calibri" w:hAnsi="Calibri"/>
        </w:rPr>
        <w:t>[  ]  Findings are triangulated with interview evidence.</w:t>
      </w:r>
    </w:p>
    <w:p>
      <w:pPr>
        <w:pStyle w:val="ListBullet"/>
        <w:ind w:left="360"/>
      </w:pPr>
      <w:r>
        <w:rPr>
          <w:rFonts w:ascii="Calibri" w:hAnsi="Calibri"/>
        </w:rPr>
        <w:t>[  ]  No causation is claimed from correlation.</w:t>
      </w:r>
    </w:p>
    <w:p>
      <w:pPr>
        <w:pStyle w:val="ListBullet"/>
        <w:ind w:left="360"/>
      </w:pPr>
      <w:r>
        <w:rPr>
          <w:rFonts w:ascii="Calibri" w:hAnsi="Calibri"/>
        </w:rPr>
        <w:t>[  ]  Disability and gender breakdowns are included where relevant.</w:t>
      </w:r>
    </w:p>
    <w:p>
      <w:pPr>
        <w:pStyle w:val="ListBullet"/>
        <w:ind w:left="360"/>
      </w:pPr>
      <w:r>
        <w:rPr>
          <w:rFonts w:ascii="Calibri" w:hAnsi="Calibri"/>
        </w:rPr>
        <w:t>[  ]  Uncomfortable findings (for example Dong Nai) are not hidden.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222222"/>
          <w:sz w:val="20"/>
        </w:rPr>
        <w:t>Signed:  ______________________________________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222222"/>
          <w:sz w:val="20"/>
        </w:rPr>
        <w:t>________________________</w:t>
      </w:r>
    </w:p>
    <w:p>
      <w:pPr>
        <w:spacing w:after="0"/>
      </w:pPr>
      <w:r>
        <w:rPr>
          <w:rFonts w:ascii="Calibri" w:hAnsi="Calibri"/>
          <w:b w:val="0"/>
          <w:i/>
          <w:color w:val="666666"/>
          <w:sz w:val="20"/>
        </w:rPr>
        <w:t>Workstream A auditor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0"/>
        </w:rPr>
        <w:t>Date:  ____________________</w:t>
      </w:r>
    </w:p>
    <w:p>
      <w:pPr>
        <w:pStyle w:val="Heading2"/>
      </w:pPr>
      <w:r>
        <w:rPr>
          <w:rFonts w:ascii="Calibri" w:hAnsi="Calibri"/>
          <w:color w:val="1B2A4A"/>
        </w:rPr>
        <w:t>Section B - Workstream B audits Workstream A</w:t>
      </w:r>
    </w:p>
    <w:p>
      <w:pPr>
        <w:pStyle w:val="ListBullet"/>
        <w:ind w:left="360"/>
      </w:pPr>
      <w:r>
        <w:rPr>
          <w:rFonts w:ascii="Calibri" w:hAnsi="Calibri"/>
        </w:rPr>
        <w:t>[  ]  Every recommendation claim cites data or a transcript reference.</w:t>
      </w:r>
    </w:p>
    <w:p>
      <w:pPr>
        <w:pStyle w:val="ListBullet"/>
        <w:ind w:left="360"/>
      </w:pPr>
      <w:r>
        <w:rPr>
          <w:rFonts w:ascii="Calibri" w:hAnsi="Calibri"/>
        </w:rPr>
        <w:t>[  ]  Strategic options are financially feasible against D-12 and D-03.</w:t>
      </w:r>
    </w:p>
    <w:p>
      <w:pPr>
        <w:pStyle w:val="ListBullet"/>
        <w:ind w:left="360"/>
      </w:pPr>
      <w:r>
        <w:rPr>
          <w:rFonts w:ascii="Calibri" w:hAnsi="Calibri"/>
        </w:rPr>
        <w:t>[  ]  Ethical trade-offs are quantified where possible.</w:t>
      </w:r>
    </w:p>
    <w:p>
      <w:pPr>
        <w:pStyle w:val="ListBullet"/>
        <w:ind w:left="360"/>
      </w:pPr>
      <w:r>
        <w:rPr>
          <w:rFonts w:ascii="Calibri" w:hAnsi="Calibri"/>
        </w:rPr>
        <w:t>[  ]  The stakeholder map reflects the interviews.</w:t>
      </w:r>
    </w:p>
    <w:p>
      <w:pPr>
        <w:pStyle w:val="ListBullet"/>
        <w:ind w:left="360"/>
      </w:pPr>
      <w:r>
        <w:rPr>
          <w:rFonts w:ascii="Calibri" w:hAnsi="Calibri"/>
        </w:rPr>
        <w:t>[  ]  Journey-map pain points are linked to recommendations.</w:t>
      </w:r>
    </w:p>
    <w:p>
      <w:pPr>
        <w:pStyle w:val="ListBullet"/>
        <w:ind w:left="360"/>
      </w:pPr>
      <w:r>
        <w:rPr>
          <w:rFonts w:ascii="Calibri" w:hAnsi="Calibri"/>
        </w:rPr>
        <w:t>[  ]  There are no contradictions with the cleaned data.</w:t>
      </w:r>
    </w:p>
    <w:p>
      <w:pPr>
        <w:pStyle w:val="ListBullet"/>
        <w:ind w:left="360"/>
      </w:pPr>
      <w:r>
        <w:rPr>
          <w:rFonts w:ascii="Calibri" w:hAnsi="Calibri"/>
        </w:rPr>
        <w:t>[  ]  The implementation roadmap has a realistic timeline and cost.</w:t>
      </w:r>
    </w:p>
    <w:p>
      <w:pPr>
        <w:pStyle w:val="ListBullet"/>
        <w:ind w:left="360"/>
      </w:pPr>
      <w:r>
        <w:rPr>
          <w:rFonts w:ascii="Calibri" w:hAnsi="Calibri"/>
        </w:rPr>
        <w:t>[  ]  Validation feedback has been incorporated (revision log complete).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222222"/>
          <w:sz w:val="20"/>
        </w:rPr>
        <w:t>Signed:  ______________________________________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222222"/>
          <w:sz w:val="20"/>
        </w:rPr>
        <w:t>________________________</w:t>
      </w:r>
    </w:p>
    <w:p>
      <w:pPr>
        <w:spacing w:after="0"/>
      </w:pPr>
      <w:r>
        <w:rPr>
          <w:rFonts w:ascii="Calibri" w:hAnsi="Calibri"/>
          <w:b w:val="0"/>
          <w:i/>
          <w:color w:val="666666"/>
          <w:sz w:val="20"/>
        </w:rPr>
        <w:t>Workstream B auditor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0"/>
        </w:rPr>
        <w:t>Date:  ____________________</w:t>
      </w:r>
    </w:p>
    <w:p>
      <w:pPr>
        <w:pStyle w:val="Heading2"/>
      </w:pPr>
      <w:r>
        <w:rPr>
          <w:rFonts w:ascii="Calibri" w:hAnsi="Calibri"/>
          <w:color w:val="1B2A4A"/>
        </w:rPr>
        <w:t>Section C - Joint final sign-off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222222"/>
          <w:sz w:val="20"/>
        </w:rPr>
        <w:t>Signed:  ______________________________________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222222"/>
          <w:sz w:val="20"/>
        </w:rPr>
        <w:t>________________________</w:t>
      </w:r>
    </w:p>
    <w:p>
      <w:pPr>
        <w:spacing w:after="0"/>
      </w:pPr>
      <w:r>
        <w:rPr>
          <w:rFonts w:ascii="Calibri" w:hAnsi="Calibri"/>
          <w:b w:val="0"/>
          <w:i/>
          <w:color w:val="666666"/>
          <w:sz w:val="20"/>
        </w:rPr>
        <w:t>Engagement Lead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0"/>
        </w:rPr>
        <w:t>Date:  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