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Project Charter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1. Engagement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Team name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Board question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What should GBF's strategy be for 2026-2028?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Board presentation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Thursday 13 August 2026, 09:00 ICT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2. Team members and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Workstream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Engagement Lead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Workstream A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Workstream B Lead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Research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Operations Analyst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Project &amp; Quality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3. Scope</w:t>
      </w:r>
    </w:p>
    <w:p>
      <w:pPr>
        <w:pStyle w:val="ListBullet"/>
        <w:ind w:left="360"/>
      </w:pPr>
      <w:r>
        <w:rPr>
          <w:rFonts w:ascii="Calibri" w:hAnsi="Calibri"/>
        </w:rPr>
        <w:t>In scope: strategy recommendation, data analysis, validation against transcripts, ethical analysis, board presentation and final report.</w:t>
      </w:r>
    </w:p>
    <w:p>
      <w:pPr>
        <w:pStyle w:val="ListBullet"/>
        <w:ind w:left="360"/>
      </w:pPr>
      <w:r>
        <w:rPr>
          <w:rFonts w:ascii="Calibri" w:hAnsi="Calibri"/>
        </w:rPr>
        <w:t>Out of scope: legal review, full financial audit, implementation.</w:t>
      </w:r>
    </w:p>
    <w:p>
      <w:pPr>
        <w:pStyle w:val="Heading2"/>
      </w:pPr>
      <w:r>
        <w:rPr>
          <w:rFonts w:ascii="Calibri" w:hAnsi="Calibri"/>
          <w:color w:val="1B2A4A"/>
        </w:rPr>
        <w:t>4. Ways of working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0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Agreement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Meeting cadence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  <w:t>Communication channel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Decision rule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Consensus; escalate to Engagement Lead; log disagreements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  <w:t>Cross-audit deadline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sz w:val="20"/>
              </w:rPr>
              <w:t>48 hours before any submission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5. Sign-off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All members sign before Tuesday 14 July 2026, 17:00 ICT.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