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Data Task Solutions</w:t>
      </w:r>
    </w:p>
    <w:p>
      <w:r>
        <w:rPr>
          <w:rFonts w:ascii="Nunito" w:hAnsi="Nunito" w:eastAsia="Nunito" w:cs="Nunito"/>
          <w:i/>
          <w:color w:val="666666"/>
          <w:sz w:val="24"/>
        </w:rPr>
        <w:t>CONFIDENTIAL - expected findings and pitfalls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B should find these. Workflow A should learn material issues only through Findings Memos, not by opening the workbook.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DB-1 Data quality - what B should find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Duplicate beneficiary IDs (built in) - de-duplicate before counting.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placed_90d coded as Y/Yes/1/N/No/0/blank - normalise.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Mixed date formats across tables.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wage outlier (obvious typo) on one record.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Dong Nai Q3 costs double-entered in hub_costs_2025.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Hours logged against an inactive mentor in volunteer_hours.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'HCMC' vs 'Ho Chi Minh City' inconsistency.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DB-2/DB-3 expected patterns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Dong Nai placement clearly below HCMC hubs.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Formal-only rate roughly 8 points below the broad rate (aligns with ST-02).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Higher attendance associates with placement - but confounded by transport/motivation.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Disability placement materially below overall (aligns with ST-03).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DB-4 / DB-5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Mentor hours weakly associate with completion; do not overclaim causation.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Aggressive growth struggles to hold 65% honestly without selection pressure - the efficiency/ethics tension teams should discover.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