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exend" w:hAnsi="Lexend" w:eastAsia="Lexend" w:cs="Lexend"/>
          <w:b/>
          <w:color w:val="007A87"/>
          <w:sz w:val="24"/>
        </w:rPr>
        <w:t>Momentum Programme   |   Scaling with Integrity</w:t>
      </w:r>
    </w:p>
    <w:p>
      <w:pPr>
        <w:spacing w:after="40"/>
      </w:pPr>
      <w:r>
        <w:rPr>
          <w:rFonts w:ascii="Lexend" w:hAnsi="Lexend" w:eastAsia="Lexend" w:cs="Lexend"/>
          <w:b/>
          <w:color w:val="1B2A4A"/>
          <w:sz w:val="48"/>
        </w:rPr>
        <w:t>Information Credibility Matrix</w:t>
      </w:r>
    </w:p>
    <w:p>
      <w:r>
        <w:rPr>
          <w:rFonts w:ascii="Nunito" w:hAnsi="Nunito" w:eastAsia="Nunito" w:cs="Nunito"/>
          <w:i/>
          <w:color w:val="666666"/>
          <w:sz w:val="24"/>
        </w:rPr>
        <w:t>Template - complete and export to PDF before submission</w:t>
      </w:r>
    </w:p>
    <w:tbl>
      <w:tblPr>
        <w:tblW w:type="auto" w:w="0"/>
        <w:tblLook w:firstColumn="1" w:firstRow="1" w:lastColumn="0" w:lastRow="0" w:noHBand="0" w:noVBand="1" w:val="04A0"/>
      </w:tblPr>
      <w:tblGrid>
        <w:gridCol w:w="4759"/>
        <w:gridCol w:w="4759"/>
      </w:tblGrid>
      <w:tr>
        <w:tc>
          <w:tcPr>
            <w:tcW w:type="dxa" w:w="2592"/>
          </w:tcPr>
          <w:p>
            <w:r>
              <w:rPr>
                <w:rFonts w:ascii="Nunito" w:hAnsi="Nunito" w:eastAsia="Nunito" w:cs="Nunito"/>
                <w:b/>
                <w:color w:val="1B2A4A"/>
                <w:sz w:val="20"/>
              </w:rPr>
              <w:t>Client</w:t>
            </w:r>
          </w:p>
        </w:tc>
        <w:tc>
          <w:tcPr>
            <w:tcW w:type="dxa" w:w="6624"/>
          </w:tcPr>
          <w:p>
            <w:r>
              <w:rPr>
                <w:rFonts w:ascii="Nunito" w:hAnsi="Nunito" w:eastAsia="Nunito" w:cs="Nunito"/>
                <w:color w:val="222222"/>
                <w:sz w:val="20"/>
              </w:rPr>
              <w:t>Generation Bridge Foundation</w:t>
            </w:r>
          </w:p>
        </w:tc>
      </w:tr>
      <w:tr>
        <w:tc>
          <w:tcPr>
            <w:tcW w:type="dxa" w:w="2592"/>
          </w:tcPr>
          <w:p>
            <w:r>
              <w:rPr>
                <w:rFonts w:ascii="Nunito" w:hAnsi="Nunito" w:eastAsia="Nunito" w:cs="Nunito"/>
                <w:b/>
                <w:color w:val="1B2A4A"/>
                <w:sz w:val="20"/>
              </w:rPr>
              <w:t>Classification</w:t>
            </w:r>
          </w:p>
        </w:tc>
        <w:tc>
          <w:tcPr>
            <w:tcW w:type="dxa" w:w="6624"/>
          </w:tcPr>
          <w:p>
            <w:r>
              <w:rPr>
                <w:rFonts w:ascii="Nunito" w:hAnsi="Nunito" w:eastAsia="Nunito" w:cs="Nunito"/>
                <w:color w:val="222222"/>
                <w:sz w:val="20"/>
              </w:rPr>
              <w:t>Participant template</w:t>
            </w:r>
          </w:p>
        </w:tc>
      </w:tr>
      <w:tr>
        <w:tc>
          <w:tcPr>
            <w:tcW w:type="dxa" w:w="2592"/>
          </w:tcPr>
          <w:p>
            <w:r>
              <w:rPr>
                <w:rFonts w:ascii="Nunito" w:hAnsi="Nunito" w:eastAsia="Nunito" w:cs="Nunito"/>
                <w:b/>
                <w:color w:val="1B2A4A"/>
                <w:sz w:val="20"/>
              </w:rPr>
              <w:t>Version</w:t>
            </w:r>
          </w:p>
        </w:tc>
        <w:tc>
          <w:tcPr>
            <w:tcW w:type="dxa" w:w="6624"/>
          </w:tcPr>
          <w:p>
            <w:r>
              <w:rPr>
                <w:rFonts w:ascii="Nunito" w:hAnsi="Nunito" w:eastAsia="Nunito" w:cs="Nunito"/>
                <w:color w:val="222222"/>
                <w:sz w:val="20"/>
              </w:rPr>
              <w:t>3.1 | July-September 2026</w:t>
            </w:r>
          </w:p>
        </w:tc>
      </w:tr>
    </w:tbl>
    <w:p/>
    <w:p>
      <w:pPr>
        <w:pBdr>
          <w:bottom w:val="single" w:sz="8" w:space="1" w:color="007A87"/>
        </w:pBdr>
      </w:pPr>
    </w:p>
    <w:p>
      <w:pPr>
        <w:spacing w:after="120"/>
      </w:pPr>
      <w:r>
        <w:rPr>
          <w:rFonts w:ascii="Nunito" w:hAnsi="Nunito" w:eastAsia="Nunito" w:cs="Nunito"/>
          <w:b w:val="0"/>
          <w:i w:val="0"/>
          <w:color w:val="222222"/>
          <w:sz w:val="22"/>
        </w:rPr>
        <w:t>You rate each shared source - the data room does not do it for you. For each row, write why you trust or doubt it (author, audience, incentive, definitions, contradictions with other sources). Operational datasets are held by Workflow B; rate Findings Memos once received.</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2304"/>
            <w:shd w:val="clear" w:color="auto" w:fill="1B2A4A"/>
          </w:tcPr>
          <w:p>
            <w:r>
              <w:rPr>
                <w:rFonts w:ascii="Lexend" w:hAnsi="Lexend" w:eastAsia="Lexend" w:cs="Lexend"/>
                <w:b/>
                <w:color w:val="FFFFFF"/>
                <w:sz w:val="20"/>
              </w:rPr>
              <w:t>Source</w:t>
            </w:r>
          </w:p>
        </w:tc>
        <w:tc>
          <w:tcPr>
            <w:tcW w:type="dxa" w:w="1728"/>
            <w:shd w:val="clear" w:color="auto" w:fill="1B2A4A"/>
          </w:tcPr>
          <w:p>
            <w:r>
              <w:rPr>
                <w:rFonts w:ascii="Lexend" w:hAnsi="Lexend" w:eastAsia="Lexend" w:cs="Lexend"/>
                <w:b/>
                <w:color w:val="FFFFFF"/>
                <w:sz w:val="20"/>
              </w:rPr>
              <w:t>Reliability (H/M/L)</w:t>
            </w:r>
          </w:p>
        </w:tc>
        <w:tc>
          <w:tcPr>
            <w:tcW w:type="dxa" w:w="2880"/>
            <w:shd w:val="clear" w:color="auto" w:fill="1B2A4A"/>
          </w:tcPr>
          <w:p>
            <w:r>
              <w:rPr>
                <w:rFonts w:ascii="Lexend" w:hAnsi="Lexend" w:eastAsia="Lexend" w:cs="Lexend"/>
                <w:b/>
                <w:color w:val="FFFFFF"/>
                <w:sz w:val="20"/>
              </w:rPr>
              <w:t>Why</w:t>
            </w:r>
          </w:p>
        </w:tc>
        <w:tc>
          <w:tcPr>
            <w:tcW w:type="dxa" w:w="3744"/>
            <w:shd w:val="clear" w:color="auto" w:fill="1B2A4A"/>
          </w:tcPr>
          <w:p>
            <w:r>
              <w:rPr>
                <w:rFonts w:ascii="Lexend" w:hAnsi="Lexend" w:eastAsia="Lexend" w:cs="Lexend"/>
                <w:b/>
                <w:color w:val="FFFFFF"/>
                <w:sz w:val="20"/>
              </w:rPr>
              <w:t>Key fact you trust or doubt</w:t>
            </w:r>
          </w:p>
        </w:tc>
      </w:tr>
      <w:tr>
        <w:tc>
          <w:tcPr>
            <w:tcW w:type="dxa" w:w="2304"/>
          </w:tcPr>
          <w:p>
            <w:r>
              <w:rPr>
                <w:rFonts w:ascii="Nunito" w:hAnsi="Nunito" w:eastAsia="Nunito" w:cs="Nunito"/>
                <w:sz w:val="20"/>
              </w:rPr>
              <w:t>D-01 Annual Report</w:t>
            </w:r>
          </w:p>
        </w:tc>
        <w:tc>
          <w:tcPr>
            <w:tcW w:type="dxa" w:w="1728"/>
          </w:tcPr>
          <w:p>
            <w:r>
              <w:rPr>
                <w:rFonts w:ascii="Nunito" w:hAnsi="Nunito" w:eastAsia="Nunito" w:cs="Nunito"/>
                <w:sz w:val="20"/>
              </w:rPr>
            </w:r>
          </w:p>
        </w:tc>
        <w:tc>
          <w:tcPr>
            <w:tcW w:type="dxa" w:w="2880"/>
          </w:tcPr>
          <w:p>
            <w:r>
              <w:rPr>
                <w:rFonts w:ascii="Nunito" w:hAnsi="Nunito" w:eastAsia="Nunito" w:cs="Nunito"/>
                <w:sz w:val="20"/>
              </w:rPr>
            </w:r>
          </w:p>
        </w:tc>
        <w:tc>
          <w:tcPr>
            <w:tcW w:type="dxa" w:w="3744"/>
          </w:tcPr>
          <w:p>
            <w:r>
              <w:rPr>
                <w:rFonts w:ascii="Nunito" w:hAnsi="Nunito" w:eastAsia="Nunito" w:cs="Nunito"/>
                <w:sz w:val="20"/>
              </w:rPr>
            </w:r>
          </w:p>
        </w:tc>
      </w:tr>
      <w:tr>
        <w:tc>
          <w:tcPr>
            <w:tcW w:type="dxa" w:w="2304"/>
            <w:shd w:val="clear" w:color="auto" w:fill="F2F4F7"/>
          </w:tcPr>
          <w:p>
            <w:r>
              <w:rPr>
                <w:rFonts w:ascii="Nunito" w:hAnsi="Nunito" w:eastAsia="Nunito" w:cs="Nunito"/>
                <w:sz w:val="20"/>
              </w:rPr>
              <w:t>D-02 Internal memo</w:t>
            </w:r>
          </w:p>
        </w:tc>
        <w:tc>
          <w:tcPr>
            <w:tcW w:type="dxa" w:w="1728"/>
            <w:shd w:val="clear" w:color="auto" w:fill="F2F4F7"/>
          </w:tcPr>
          <w:p>
            <w:r>
              <w:rPr>
                <w:rFonts w:ascii="Nunito" w:hAnsi="Nunito" w:eastAsia="Nunito" w:cs="Nunito"/>
                <w:sz w:val="20"/>
              </w:rPr>
            </w:r>
          </w:p>
        </w:tc>
        <w:tc>
          <w:tcPr>
            <w:tcW w:type="dxa" w:w="2880"/>
            <w:shd w:val="clear" w:color="auto" w:fill="F2F4F7"/>
          </w:tcPr>
          <w:p>
            <w:r>
              <w:rPr>
                <w:rFonts w:ascii="Nunito" w:hAnsi="Nunito" w:eastAsia="Nunito" w:cs="Nunito"/>
                <w:sz w:val="20"/>
              </w:rPr>
            </w:r>
          </w:p>
        </w:tc>
        <w:tc>
          <w:tcPr>
            <w:tcW w:type="dxa" w:w="3744"/>
            <w:shd w:val="clear" w:color="auto" w:fill="F2F4F7"/>
          </w:tcPr>
          <w:p>
            <w:r>
              <w:rPr>
                <w:rFonts w:ascii="Nunito" w:hAnsi="Nunito" w:eastAsia="Nunito" w:cs="Nunito"/>
                <w:sz w:val="20"/>
              </w:rPr>
            </w:r>
          </w:p>
        </w:tc>
      </w:tr>
      <w:tr>
        <w:tc>
          <w:tcPr>
            <w:tcW w:type="dxa" w:w="2304"/>
          </w:tcPr>
          <w:p>
            <w:r>
              <w:rPr>
                <w:rFonts w:ascii="Nunito" w:hAnsi="Nunito" w:eastAsia="Nunito" w:cs="Nunito"/>
                <w:sz w:val="20"/>
              </w:rPr>
              <w:t>D-03 VPBank agreement</w:t>
            </w:r>
          </w:p>
        </w:tc>
        <w:tc>
          <w:tcPr>
            <w:tcW w:type="dxa" w:w="1728"/>
          </w:tcPr>
          <w:p>
            <w:r>
              <w:rPr>
                <w:rFonts w:ascii="Nunito" w:hAnsi="Nunito" w:eastAsia="Nunito" w:cs="Nunito"/>
                <w:sz w:val="20"/>
              </w:rPr>
            </w:r>
          </w:p>
        </w:tc>
        <w:tc>
          <w:tcPr>
            <w:tcW w:type="dxa" w:w="2880"/>
          </w:tcPr>
          <w:p>
            <w:r>
              <w:rPr>
                <w:rFonts w:ascii="Nunito" w:hAnsi="Nunito" w:eastAsia="Nunito" w:cs="Nunito"/>
                <w:sz w:val="20"/>
              </w:rPr>
            </w:r>
          </w:p>
        </w:tc>
        <w:tc>
          <w:tcPr>
            <w:tcW w:type="dxa" w:w="3744"/>
          </w:tcPr>
          <w:p>
            <w:r>
              <w:rPr>
                <w:rFonts w:ascii="Nunito" w:hAnsi="Nunito" w:eastAsia="Nunito" w:cs="Nunito"/>
                <w:sz w:val="20"/>
              </w:rPr>
            </w:r>
          </w:p>
        </w:tc>
      </w:tr>
      <w:tr>
        <w:tc>
          <w:tcPr>
            <w:tcW w:type="dxa" w:w="2304"/>
            <w:shd w:val="clear" w:color="auto" w:fill="F2F4F7"/>
          </w:tcPr>
          <w:p>
            <w:r>
              <w:rPr>
                <w:rFonts w:ascii="Nunito" w:hAnsi="Nunito" w:eastAsia="Nunito" w:cs="Nunito"/>
                <w:sz w:val="20"/>
              </w:rPr>
              <w:t>D-08 Board emails</w:t>
            </w:r>
          </w:p>
        </w:tc>
        <w:tc>
          <w:tcPr>
            <w:tcW w:type="dxa" w:w="1728"/>
            <w:shd w:val="clear" w:color="auto" w:fill="F2F4F7"/>
          </w:tcPr>
          <w:p>
            <w:r>
              <w:rPr>
                <w:rFonts w:ascii="Nunito" w:hAnsi="Nunito" w:eastAsia="Nunito" w:cs="Nunito"/>
                <w:sz w:val="20"/>
              </w:rPr>
            </w:r>
          </w:p>
        </w:tc>
        <w:tc>
          <w:tcPr>
            <w:tcW w:type="dxa" w:w="2880"/>
            <w:shd w:val="clear" w:color="auto" w:fill="F2F4F7"/>
          </w:tcPr>
          <w:p>
            <w:r>
              <w:rPr>
                <w:rFonts w:ascii="Nunito" w:hAnsi="Nunito" w:eastAsia="Nunito" w:cs="Nunito"/>
                <w:sz w:val="20"/>
              </w:rPr>
            </w:r>
          </w:p>
        </w:tc>
        <w:tc>
          <w:tcPr>
            <w:tcW w:type="dxa" w:w="3744"/>
            <w:shd w:val="clear" w:color="auto" w:fill="F2F4F7"/>
          </w:tcPr>
          <w:p>
            <w:r>
              <w:rPr>
                <w:rFonts w:ascii="Nunito" w:hAnsi="Nunito" w:eastAsia="Nunito" w:cs="Nunito"/>
                <w:sz w:val="20"/>
              </w:rPr>
            </w:r>
          </w:p>
        </w:tc>
      </w:tr>
      <w:tr>
        <w:tc>
          <w:tcPr>
            <w:tcW w:type="dxa" w:w="2304"/>
          </w:tcPr>
          <w:p>
            <w:r>
              <w:rPr>
                <w:rFonts w:ascii="Nunito" w:hAnsi="Nunito" w:eastAsia="Nunito" w:cs="Nunito"/>
                <w:sz w:val="20"/>
              </w:rPr>
              <w:t>D-10 YouthWorks brief</w:t>
            </w:r>
          </w:p>
        </w:tc>
        <w:tc>
          <w:tcPr>
            <w:tcW w:type="dxa" w:w="1728"/>
          </w:tcPr>
          <w:p>
            <w:r>
              <w:rPr>
                <w:rFonts w:ascii="Nunito" w:hAnsi="Nunito" w:eastAsia="Nunito" w:cs="Nunito"/>
                <w:sz w:val="20"/>
              </w:rPr>
            </w:r>
          </w:p>
        </w:tc>
        <w:tc>
          <w:tcPr>
            <w:tcW w:type="dxa" w:w="2880"/>
          </w:tcPr>
          <w:p>
            <w:r>
              <w:rPr>
                <w:rFonts w:ascii="Nunito" w:hAnsi="Nunito" w:eastAsia="Nunito" w:cs="Nunito"/>
                <w:sz w:val="20"/>
              </w:rPr>
            </w:r>
          </w:p>
        </w:tc>
        <w:tc>
          <w:tcPr>
            <w:tcW w:type="dxa" w:w="3744"/>
          </w:tcPr>
          <w:p>
            <w:r>
              <w:rPr>
                <w:rFonts w:ascii="Nunito" w:hAnsi="Nunito" w:eastAsia="Nunito" w:cs="Nunito"/>
                <w:sz w:val="20"/>
              </w:rPr>
            </w:r>
          </w:p>
        </w:tc>
      </w:tr>
      <w:tr>
        <w:tc>
          <w:tcPr>
            <w:tcW w:type="dxa" w:w="2304"/>
            <w:shd w:val="clear" w:color="auto" w:fill="F2F4F7"/>
          </w:tcPr>
          <w:p>
            <w:r>
              <w:rPr>
                <w:rFonts w:ascii="Nunito" w:hAnsi="Nunito" w:eastAsia="Nunito" w:cs="Nunito"/>
                <w:sz w:val="20"/>
              </w:rPr>
              <w:t>D-11 Staff survey</w:t>
            </w:r>
          </w:p>
        </w:tc>
        <w:tc>
          <w:tcPr>
            <w:tcW w:type="dxa" w:w="1728"/>
            <w:shd w:val="clear" w:color="auto" w:fill="F2F4F7"/>
          </w:tcPr>
          <w:p>
            <w:r>
              <w:rPr>
                <w:rFonts w:ascii="Nunito" w:hAnsi="Nunito" w:eastAsia="Nunito" w:cs="Nunito"/>
                <w:sz w:val="20"/>
              </w:rPr>
            </w:r>
          </w:p>
        </w:tc>
        <w:tc>
          <w:tcPr>
            <w:tcW w:type="dxa" w:w="2880"/>
            <w:shd w:val="clear" w:color="auto" w:fill="F2F4F7"/>
          </w:tcPr>
          <w:p>
            <w:r>
              <w:rPr>
                <w:rFonts w:ascii="Nunito" w:hAnsi="Nunito" w:eastAsia="Nunito" w:cs="Nunito"/>
                <w:sz w:val="20"/>
              </w:rPr>
            </w:r>
          </w:p>
        </w:tc>
        <w:tc>
          <w:tcPr>
            <w:tcW w:type="dxa" w:w="3744"/>
            <w:shd w:val="clear" w:color="auto" w:fill="F2F4F7"/>
          </w:tcPr>
          <w:p>
            <w:r>
              <w:rPr>
                <w:rFonts w:ascii="Nunito" w:hAnsi="Nunito" w:eastAsia="Nunito" w:cs="Nunito"/>
                <w:sz w:val="20"/>
              </w:rPr>
            </w:r>
          </w:p>
        </w:tc>
      </w:tr>
      <w:tr>
        <w:tc>
          <w:tcPr>
            <w:tcW w:type="dxa" w:w="2304"/>
          </w:tcPr>
          <w:p>
            <w:r>
              <w:rPr>
                <w:rFonts w:ascii="Nunito" w:hAnsi="Nunito" w:eastAsia="Nunito" w:cs="Nunito"/>
                <w:sz w:val="20"/>
              </w:rPr>
              <w:t>D-12 Financials</w:t>
            </w:r>
          </w:p>
        </w:tc>
        <w:tc>
          <w:tcPr>
            <w:tcW w:type="dxa" w:w="1728"/>
          </w:tcPr>
          <w:p>
            <w:r>
              <w:rPr>
                <w:rFonts w:ascii="Nunito" w:hAnsi="Nunito" w:eastAsia="Nunito" w:cs="Nunito"/>
                <w:sz w:val="20"/>
              </w:rPr>
            </w:r>
          </w:p>
        </w:tc>
        <w:tc>
          <w:tcPr>
            <w:tcW w:type="dxa" w:w="2880"/>
          </w:tcPr>
          <w:p>
            <w:r>
              <w:rPr>
                <w:rFonts w:ascii="Nunito" w:hAnsi="Nunito" w:eastAsia="Nunito" w:cs="Nunito"/>
                <w:sz w:val="20"/>
              </w:rPr>
            </w:r>
          </w:p>
        </w:tc>
        <w:tc>
          <w:tcPr>
            <w:tcW w:type="dxa" w:w="3744"/>
          </w:tcPr>
          <w:p>
            <w:r>
              <w:rPr>
                <w:rFonts w:ascii="Nunito" w:hAnsi="Nunito" w:eastAsia="Nunito" w:cs="Nunito"/>
                <w:sz w:val="20"/>
              </w:rPr>
            </w:r>
          </w:p>
        </w:tc>
      </w:tr>
      <w:tr>
        <w:tc>
          <w:tcPr>
            <w:tcW w:type="dxa" w:w="2304"/>
            <w:shd w:val="clear" w:color="auto" w:fill="F2F4F7"/>
          </w:tcPr>
          <w:p>
            <w:r>
              <w:rPr>
                <w:rFonts w:ascii="Nunito" w:hAnsi="Nunito" w:eastAsia="Nunito" w:cs="Nunito"/>
                <w:sz w:val="20"/>
              </w:rPr>
              <w:t>Interview transcripts</w:t>
            </w:r>
          </w:p>
        </w:tc>
        <w:tc>
          <w:tcPr>
            <w:tcW w:type="dxa" w:w="1728"/>
            <w:shd w:val="clear" w:color="auto" w:fill="F2F4F7"/>
          </w:tcPr>
          <w:p>
            <w:r>
              <w:rPr>
                <w:rFonts w:ascii="Nunito" w:hAnsi="Nunito" w:eastAsia="Nunito" w:cs="Nunito"/>
                <w:sz w:val="20"/>
              </w:rPr>
            </w:r>
          </w:p>
        </w:tc>
        <w:tc>
          <w:tcPr>
            <w:tcW w:type="dxa" w:w="2880"/>
            <w:shd w:val="clear" w:color="auto" w:fill="F2F4F7"/>
          </w:tcPr>
          <w:p>
            <w:r>
              <w:rPr>
                <w:rFonts w:ascii="Nunito" w:hAnsi="Nunito" w:eastAsia="Nunito" w:cs="Nunito"/>
                <w:sz w:val="20"/>
              </w:rPr>
            </w:r>
          </w:p>
        </w:tc>
        <w:tc>
          <w:tcPr>
            <w:tcW w:type="dxa" w:w="3744"/>
            <w:shd w:val="clear" w:color="auto" w:fill="F2F4F7"/>
          </w:tcPr>
          <w:p>
            <w:r>
              <w:rPr>
                <w:rFonts w:ascii="Nunito" w:hAnsi="Nunito" w:eastAsia="Nunito" w:cs="Nunito"/>
                <w:sz w:val="20"/>
              </w:rPr>
            </w:r>
          </w:p>
        </w:tc>
      </w:tr>
      <w:tr>
        <w:tc>
          <w:tcPr>
            <w:tcW w:type="dxa" w:w="2304"/>
          </w:tcPr>
          <w:p>
            <w:r>
              <w:rPr>
                <w:rFonts w:ascii="Nunito" w:hAnsi="Nunito" w:eastAsia="Nunito" w:cs="Nunito"/>
                <w:sz w:val="20"/>
              </w:rPr>
              <w:t>Findings Memos (from B)</w:t>
            </w:r>
          </w:p>
        </w:tc>
        <w:tc>
          <w:tcPr>
            <w:tcW w:type="dxa" w:w="1728"/>
          </w:tcPr>
          <w:p>
            <w:r>
              <w:rPr>
                <w:rFonts w:ascii="Nunito" w:hAnsi="Nunito" w:eastAsia="Nunito" w:cs="Nunito"/>
                <w:sz w:val="20"/>
              </w:rPr>
            </w:r>
          </w:p>
        </w:tc>
        <w:tc>
          <w:tcPr>
            <w:tcW w:type="dxa" w:w="2880"/>
          </w:tcPr>
          <w:p>
            <w:r>
              <w:rPr>
                <w:rFonts w:ascii="Nunito" w:hAnsi="Nunito" w:eastAsia="Nunito" w:cs="Nunito"/>
                <w:sz w:val="20"/>
              </w:rPr>
            </w:r>
          </w:p>
        </w:tc>
        <w:tc>
          <w:tcPr>
            <w:tcW w:type="dxa" w:w="3744"/>
          </w:tcPr>
          <w:p>
            <w:r>
              <w:rPr>
                <w:rFonts w:ascii="Nunito" w:hAnsi="Nunito" w:eastAsia="Nunito" w:cs="Nunito"/>
                <w:sz w:val="20"/>
              </w:rPr>
            </w:r>
          </w:p>
        </w:tc>
      </w:tr>
    </w:tbl>
    <w:p/>
    <w:p>
      <w:pPr>
        <w:spacing w:after="120"/>
      </w:pPr>
      <w:r>
        <w:rPr>
          <w:rFonts w:ascii="Nunito" w:hAnsi="Nunito" w:eastAsia="Nunito" w:cs="Nunito"/>
          <w:b w:val="0"/>
          <w:i w:val="0"/>
          <w:color w:val="222222"/>
          <w:sz w:val="22"/>
        </w:rPr>
        <w:t>Prompt questions (optional): Who benefits if this source is believed? What definition sits behind any rate? What would change your rating?</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unito" w:hAnsi="Nunito" w:eastAsia="Nunito" w:cs="Nunito"/>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