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Inconsistencies Register</w:t>
      </w:r>
    </w:p>
    <w:p>
      <w:r>
        <w:rPr>
          <w:rFonts w:ascii="Nunito" w:hAnsi="Nunito" w:eastAsia="Nunito" w:cs="Nunito"/>
          <w:i/>
          <w:color w:val="666666"/>
          <w:sz w:val="24"/>
        </w:rPr>
        <w:t>Complete list of built-in errors and document contradictions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Teams earn credit for finding these, documenting their response, and triangulating with client documents and transcripts. None should be ignored.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Part 1 - Dataset inconsistencies (GBF_Datasets.xlsx - Workflow B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A should only learn material issues through Findings Memos. Mark down if A opens the raw file or if B dumps the cleaning log without translation.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Ref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teams should see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Expected handling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DC-01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Duplicate beneficiary IDs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Two rows share an ID with different province values (one shows 'HCMC').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De-duplicate before any count; keep the most complete record and log the decision.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Mixed date formats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tables with dates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Same field uses dd/mm/yyyy, yyyy-mm-dd and dd-mm-yyyy interchangeably.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Standardise to one format before joins; document the rule in the assumption log.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DC-03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Inconsistent placement coding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employment_outcomes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placed_90d uses Y, Yes, 1, N, No, 0 and blank for the same meaning.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Map to a single binary flag; treat blank as missing, not 'not placed'.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DC-04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Inconsistent attendance coding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programme_attendance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attended uses Y, N, 1 and 0.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Normalise to 1/0 before calculating attendance rates.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DC-05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Impossible age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Record GBF-2025-10417 has a date of birth implying age ~42.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Flag as data error; exclude from age analysis or correct with documented assumption.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DC-06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Wage typo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employment_outcomes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Record GBF-2025-10417 shows wage_vnd_monthly = 99,999,999 (notes field flags error).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Investigate; exclude or cap for wage averages; never report uncorrected.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DC-07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Missing ethnicity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Roughly 18% of ethnicity fields are blank.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Report missingness; do not impute without stating why.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DC-08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Missing disability flag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Roughly 5% of disability_status fields are blank.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Treat as unknown; compare Y-only rate with and without unknowns.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DC-09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Province label mismatch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Same hub appears as 'Ho Chi Minh City' and 'HCMC'.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Create a lookup table; never double-count provinces.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DC-10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Dong Nai cost double-entry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hub_costs_2025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September 2025 for hub DN appears twice with identical totals.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Remove duplicate row before summing hub costs.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DC-11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Hours on inactive mentor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volunteer_hours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Mentor M-099 is marked Inactive but has logged hours.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Exclude inactive-mentor hours from DB-4 or justify inclusion.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DC-12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Text-formatted funding amount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funding_by_source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UK aid / FCDO 2025-Q3 amount_vnd_m stored as text with a thousands comma.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Convert to number before SUM; note in data quality report.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DC-13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Sample vs organisation totals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All tables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Export covers ~520 beneficiaries; handbook cites 2,847 served in 2025.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State sample limitation in every analysis; do not extrapolate to org totals.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Part 2 - Document and narrative contradictions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Ref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Contradiction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strong teams do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DC-D01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Placement rate definition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D-01 vs D-02 vs ST-02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D-01 public report: 71% within 90 days (broad: includes gig work &gt;=15 hrs/week). ST-02: formal contract rate closer to 63%. D-02 says Pathway Digital reporting was generous.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Teams must state which definition they use and report both where possible.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DC-D02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Pathway Digital completion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D-02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Donor-facing figure 68%; true completers/ starters = 52% (wrong denominator).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Strong teams catch this and discuss reputational risk.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DC-D03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Dong Nai performance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D-02, ST-01, ST-05, EP-02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Internship drop-out 38% vs org average 22%; transport and employer quality cited.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Dashboard should show DN below 65%; recommendations must address DN if scaling.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DC-D04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Disability gap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ST-03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Reported disability share ~6%; population nearer 9%. Placement ~49% vs 71% overall.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Mark down if disability breakdown is missing from analysis or recommendations.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DC-D05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Board email thread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D-08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Forwarded anonymously; unverified; politically motivated opinions.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Use for stakeholder sentiment only; triangulate with transcripts.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DC-D06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YouthWorks threat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D-10 vs ST-04 vs ST-05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Development says overstated; field staff see waitlist leakage in Binh Duong border districts.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 single truth; evidence-based judgement required.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DC-D07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VPBank conditions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D-03 vs DN-01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65% at 90 days required; DN-01 open to quality-focused alternative but not open-ended delay.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Funding scenarios must stress-test the 65% condition honestly.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DC-D08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60-day reporting proposal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ST-04 vs D-03 vs DN-01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Anh Duc suggests early measurement; contract and donor say 90 days is primary.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Recommending 60-day reporting as primary metric is a red line.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DC-D09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Long An pilot</w:t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  <w:t>D-02, ST-01, BD-01</w:t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  <w:t>~60% drop-out; board member T.N. pushes expansion for political reasons.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Scaling to Long An without fixing the model is a common weak answer.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DC-D10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Social enterprise conflict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D-12, EP-01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GBF Staffing Solutions earns placement fees from same employers who take interns.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Strong teams surface the conflict in trade-off reflection or options; it is not labelled for them.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Part 3 - Expected quantitative patterns (after cleaning)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hub placement rate clearly below HCMC hubs (target: flag below 65%).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Long An and Pathway Digital underperform Skills Forward on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Broad placement rate roughly 8 points above formal-only rate (aligns with ST-02).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Disability placement gap of ~20+ points vs overall (aligns with ST-03).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Higher attendance associated with placement, but confounded by transport and motivation.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Aggressive growth scenario struggles to meet 65% without selection bias (efficiency vs ethics tension).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