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Facilitator Guide</w:t>
      </w:r>
    </w:p>
    <w:p>
      <w:r>
        <w:rPr>
          <w:rFonts w:ascii="Nunito" w:hAnsi="Nunito" w:eastAsia="Nunito" w:cs="Nunito"/>
          <w:i/>
          <w:color w:val="666666"/>
          <w:sz w:val="24"/>
        </w:rPr>
        <w:t>How to run the six-week Momentum engagement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1"/>
      </w:pPr>
      <w:r>
        <w:rPr>
          <w:rFonts w:ascii="Lexend" w:hAnsi="Lexend" w:eastAsia="Lexend" w:cs="Lexend"/>
          <w:color w:val="1B2A4A"/>
        </w:rPr>
        <w:t>Before you start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Distribute only the Participants/ folder. Never share Facilitators/ or Answer_Key/. Confirm each team has five or six members and assign one Buddy per team. Operational datasets live only in Workflow B's folder - do not hand A the Excel.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What this case is testing (staff only)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Do not state these lenses to participants.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Efficiency versus ethics: growth/targets/placement metrics against dignity, quality, and who gets left behind. Teams should discover and sit with the tension.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Empathy versus outside-in: whether recommendations are grounded in beneficiary voices or designed for people whose context the team has not taken seriously.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Active querying: A must work out what to ask; B must translate. Penalise teams that reverse-engineer from D-01 alone or share the raw file.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Kickoff (Day 1) - what to say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Set the tone in the first ten minutes: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You are consultants, not students. The Board is paying for judgement.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There is no single right answer. We assess your reasoning and evidence.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Everything you need is in the pack. Do not go looking outside it.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Two workflows hold incomplete information. A frames questions; B owns the data and translates findings. You must talk to each other.</w:t>
      </w:r>
    </w:p>
    <w:p>
      <w:pPr>
        <w:pStyle w:val="Heading1"/>
      </w:pPr>
      <w:r>
        <w:rPr>
          <w:rFonts w:ascii="Lexend" w:hAnsi="Lexend" w:eastAsia="Lexend" w:cs="Lexend"/>
          <w:color w:val="1B2A4A"/>
        </w:rPr>
        <w:t>Week-by-week facilitation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86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Week</w:t>
            </w:r>
          </w:p>
        </w:tc>
        <w:tc>
          <w:tcPr>
            <w:tcW w:type="dxa" w:w="432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Watch for</w:t>
            </w:r>
          </w:p>
        </w:tc>
        <w:tc>
          <w:tcPr>
            <w:tcW w:type="dxa" w:w="432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Nudge if...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Vague problem statements; skipping credibility check; A asking for 'the data file'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they treat every source as equally reliable, or A tries to bypass B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2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No Analysis Requests; B answering unasked questions; empathy maps with no citations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Request Log is empty by Wednesday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Options that are not genuinely distinct; numbers without Request IDs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all three options are really the same idea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4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Recommendations that ignore Findings or validation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nothing changed after FM-01 or the transcripts</w:t>
            </w:r>
          </w:p>
        </w:tc>
      </w:tr>
      <w:tr>
        <w:tc>
          <w:tcPr>
            <w:tcW w:type="dxa" w:w="864"/>
          </w:tcPr>
          <w:p>
            <w:r>
              <w:rPr>
                <w:rFonts w:ascii="Nunito" w:hAnsi="Nunito" w:eastAsia="Nunito" w:cs="Nunito"/>
                <w:sz w:val="20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Data-dump slides; burying bad news; no named cost of the preferred path</w:t>
            </w:r>
          </w:p>
        </w:tc>
        <w:tc>
          <w:tcPr>
            <w:tcW w:type="dxa" w:w="4320"/>
          </w:tcPr>
          <w:p>
            <w:r>
              <w:rPr>
                <w:rFonts w:ascii="Nunito" w:hAnsi="Nunito" w:eastAsia="Nunito" w:cs="Nunito"/>
                <w:sz w:val="20"/>
              </w:rPr>
              <w:t>Dong Nai or the formal rate is missing; trade-off reflection is empty</w:t>
            </w:r>
          </w:p>
        </w:tc>
      </w:tr>
      <w:tr>
        <w:tc>
          <w:tcPr>
            <w:tcW w:type="dxa" w:w="86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6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Shallow reflection; blame in peer review</w:t>
            </w:r>
          </w:p>
        </w:tc>
        <w:tc>
          <w:tcPr>
            <w:tcW w:type="dxa" w:w="432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  <w:t>the debrief avoids the costs of their recommendation</w:t>
            </w:r>
          </w:p>
        </w:tc>
      </w:tr>
    </w:tbl>
    <w:p/>
    <w:p>
      <w:pPr>
        <w:pStyle w:val="Heading1"/>
      </w:pPr>
      <w:r>
        <w:rPr>
          <w:rFonts w:ascii="Lexend" w:hAnsi="Lexend" w:eastAsia="Lexend" w:cs="Lexend"/>
          <w:color w:val="1B2A4A"/>
        </w:rPr>
        <w:t>Escalation triggers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Team conflict unresolved for more than 48 hours.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Any safeguarding or ethical red flag in how a team behaves.</w:t>
      </w:r>
    </w:p>
    <w:p>
      <w:pPr>
        <w:pStyle w:val="ListBullet"/>
        <w:ind w:left="360"/>
      </w:pPr>
      <w:r>
        <w:rPr>
          <w:rFonts w:ascii="Nunito" w:hAnsi="Nunito" w:eastAsia="Nunito" w:cs="Nunito"/>
        </w:rPr>
        <w:t>A Buddy giving answers, the data file, or named 'efficiency vs ethics' framing.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