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Assessment Rubric</w:t>
      </w:r>
    </w:p>
    <w:p>
      <w:r>
        <w:rPr>
          <w:rFonts w:ascii="Nunito" w:hAnsi="Nunito" w:eastAsia="Nunito" w:cs="Nunito"/>
          <w:i/>
          <w:color w:val="666666"/>
          <w:sz w:val="24"/>
        </w:rPr>
        <w:t>100 points - descriptors and point bands per level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Score each criterion against the descriptors. Point bands below make Excellent / Good / Satisfactory / Poor concrete. These bands are expected scales; Core Team may announce refinements without changing the criterion weights without notice.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How to convert a level to points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For a criterion worth P points: Excellent = 85-100% of P; Good = 70-84%; Satisfactory = 50-69%; Poor = 0-49%. Round to the nearest whole point.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Criterion max (P)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13-15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11-12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8-10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0-7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20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17-20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14-16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10-13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0-9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9-10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7-8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5-6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0-4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0-2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Problem understanding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Precise, MECE issue tree; hypotheses imply clear asks for B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Solid framing; minor gaps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Generic framing; some overlap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Misreads the problem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Research quality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Sources triangulated; citations include section/speaker; contradictions resolved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 sources used well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Uses sources uncritically or cites code only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Ignores or misuses sources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Design thinking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Evidence-based empathy and journey maps grounded in specific voices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Competent maps and ideation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Mechanical, thin on evidence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Superficial or missing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Data analysis and translation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Clean data; honest definitions; Findings Memos in plain language; limitations stated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Mostly sound; small errors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Basic analysis; weak translation to A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Errors, raw-file sharing, or misleading charts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Recommendations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Distinct options; Request IDs cited; costs of preferred path named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Reasonable, mostly supported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Vague or weakly supported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Unsupported or infeasible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Presentation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Answer-first storyline; every slide earns its place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Clear and mostly disciplined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Some data-dumping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Disorganised or decorative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Project management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Request Log, RACI, file naming, version control all maintained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Mostly maintained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Patchy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Absent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Teamwork and cross-workflow exchange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rFonts w:ascii="Nunito" w:hAnsi="Nunito" w:eastAsia="Nunito" w:cs="Nunito"/>
                <w:sz w:val="20"/>
              </w:rPr>
              <w:t>Genuine request/findings exchange; online handoff confirmed in good faith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Good collaboration</w:t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  <w:t>Uneven contribution or one-way dump</w:t>
            </w:r>
          </w:p>
        </w:tc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  <w:t>Free-riding or A/B bypass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Sample answers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There is no single model answer. Use Answer_Key/ for expected findings, solution paths, and deliverable standards. Reward reasoning that names costs, not a particular destination.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