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Presentation Day Plan</w:t>
      </w:r>
    </w:p>
    <w:p>
      <w:r>
        <w:rPr>
          <w:rFonts w:ascii="Nunito" w:hAnsi="Nunito" w:eastAsia="Nunito" w:cs="Nunito"/>
          <w:i/>
          <w:color w:val="666666"/>
          <w:sz w:val="24"/>
        </w:rPr>
        <w:t>Panel weights, guest brief, and Board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1"/>
      </w:pPr>
      <w:r>
        <w:rPr>
          <w:rFonts w:ascii="Lexend" w:hAnsi="Lexend" w:eastAsia="Lexend" w:cs="Lexend"/>
          <w:color w:val="1B2A4A"/>
        </w:rPr>
        <w:t>1. Score weights on Presentation Day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 100-point engagement rubric still applies to written work. On Presentation Day, the live pitch and Q&amp;A are scored with this panel split: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6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  <w:t>Buddy</w:t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  <w:t>35%</w:t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Process, teamwork, citation discipline, request/findings exchange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Core Team (Impact Case / MMT)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35%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Substance of recommendation, evidence quality, feasibility</w:t>
            </w:r>
          </w:p>
        </w:tc>
      </w:tr>
      <w:tr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  <w:t>Guest Board (invited)</w:t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  <w:t>30%</w:t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Clarity of ask, persuasiveness, composure under challenge</w:t>
            </w:r>
          </w:p>
        </w:tc>
      </w:tr>
    </w:tbl>
    <w:p/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Final written report quality is primarily owned by Core Team using the Assessment Rubric and Answer_Key. Buddy scores inform process marks; guests do not re-mark the full 100-point written rubric unless Core Team asks them to.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2. Who judges the final report?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Primary: Core Team Impact Case using 03_Assessment_Rubric and Answer_Key.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Buddy: process and teamwork evidence (Request Log, handoff ticks, file naming).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Guest Board: live pitch only, unless Core Team shares a one-page score sheet.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3. Briefing guest Board members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Yes - Core Team briefs guests before the session. Guests should not rely on teams to teach the whole case in the first two minutes.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Send a one-page case brief (Board question, workflows A/B, fictional disclaimer) 48 hours ahead.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15-minute live brief before pitches: what GBF is (fictional), what a strong ask looks like, red lines (raw data sharing, outside research).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Optional role cards: guests may play ED / Development / Donor / Board hawk - or sit as a neutral Board. Tell teams which format applies that day.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4. Format of the final presentation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Default format (recommended):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Teams pitch to a simulated GBF Board (10-12 minutes + 8-10 minutes Q&amp;A).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Core Team and Buddies sit on the panel; invited guests join as Board members.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Optional light role-play: assign 1-2 guests (or Core Team) to named stances (e.g. growth-oriented Board member vs quality-first ED). Do not require teams to invent the Board characters themselves.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Teams open with their one-sentence recommendation; they do not re-read the entire data room as 'context'.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Announce the chosen format at Week 4 Buddy check-in so teams can rehearse.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5. Run-of-show (example)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720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08:30</w:t>
            </w:r>
          </w:p>
        </w:tc>
        <w:tc>
          <w:tcPr>
            <w:tcW w:type="dxa" w:w="7200"/>
          </w:tcPr>
          <w:p>
            <w:r>
              <w:rPr>
                <w:rFonts w:ascii="Nunito" w:hAnsi="Nunito" w:eastAsia="Nunito" w:cs="Nunito"/>
                <w:sz w:val="20"/>
              </w:rPr>
              <w:t>Guest brief (closed)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09:00</w:t>
            </w:r>
          </w:p>
        </w:tc>
        <w:tc>
          <w:tcPr>
            <w:tcW w:type="dxa" w:w="720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Team 1 pitch + Q&amp;A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09:25</w:t>
            </w:r>
          </w:p>
        </w:tc>
        <w:tc>
          <w:tcPr>
            <w:tcW w:type="dxa" w:w="7200"/>
          </w:tcPr>
          <w:p>
            <w:r>
              <w:rPr>
                <w:rFonts w:ascii="Nunito" w:hAnsi="Nunito" w:eastAsia="Nunito" w:cs="Nunito"/>
                <w:sz w:val="20"/>
              </w:rPr>
              <w:t>Team 2 ...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After last team</w:t>
            </w:r>
          </w:p>
        </w:tc>
        <w:tc>
          <w:tcPr>
            <w:tcW w:type="dxa" w:w="720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Panel scores submitted; short private calibration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Closing</w:t>
            </w:r>
          </w:p>
        </w:tc>
        <w:tc>
          <w:tcPr>
            <w:tcW w:type="dxa" w:w="7200"/>
          </w:tcPr>
          <w:p>
            <w:r>
              <w:rPr>
                <w:rFonts w:ascii="Nunito" w:hAnsi="Nunito" w:eastAsia="Nunito" w:cs="Nunito"/>
                <w:sz w:val="20"/>
              </w:rPr>
              <w:t>Thank teams; remind Week 6 peer eval and reflection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