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Cross-Workflow Handoff Checklist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 deliverable may be submitted until both workflows have completed and confirmed their sections. Use online ticks (typed name + date) - no wet signature. The Engagement Lead confirms only if the Request Log shows genuine exchange (not a single dump at the end).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A - Workflow A reviews Workflow B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Findings Memos answer the question asked, in plain language.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The raw workbook and data dictionary were not shared with A.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Placement definition and sample limitations are stated.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Caveats are honest; uncomfortable findings are not hidden.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Unanswered or delayed requests are logged with reasons.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No causation is claimed from correlation.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Charts attached to memos are curated, not a pivot dump.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A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B - Workflow B reviews Workflow A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Every quantitative claim cites a Request ID or Findings Memo ID.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Document cites include section/heading (not code alone).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At least three Analysis Requests have Findings Memos returned.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Strategic options are financially feasible against D-12 and D-03.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Options changed after at least one B challenge (see revision log).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Journey-map pain points link to recommendations and/or Findings cites.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Trade-off reflection names who gains and who loses.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Implementation roadmap has a realistic timeline and cost.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B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C - Joint final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Request Log shows minimum three completed R/FM pairs: [  ] Yes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Engagement Lead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