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Executive Summary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Lexend" w:hAnsi="Lexend" w:eastAsia="Lexend" w:cs="Lexend"/>
          <w:color w:val="1B2A4A"/>
        </w:rPr>
        <w:t>Key message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[One sentence: the single most important thing the Board should know.]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Context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[Three or four sentences on why this decision matters now.]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Recommendation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Primary recommendation: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Supporting actions:</w:t>
      </w:r>
    </w:p>
    <w:p>
      <w:pPr>
        <w:pStyle w:val="ListNumber"/>
        <w:ind w:left="360"/>
      </w:pPr>
      <w:r>
        <w:rPr>
          <w:rFonts w:ascii="Nunito" w:hAnsi="Nunito" w:eastAsia="Nunito" w:cs="Nunito"/>
        </w:rPr>
        <w:t>What GBF should stop doing: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Evidence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45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59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 (D-/ST-/R-/FM-)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Implication</w:t>
            </w:r>
          </w:p>
        </w:tc>
      </w:tr>
      <w:tr>
        <w:tc>
          <w:tcPr>
            <w:tcW w:type="dxa" w:w="345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345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59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Ninety-day roadmap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4896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Actions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Cost estimate</w:t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0-30 days</w:t>
            </w:r>
          </w:p>
        </w:tc>
        <w:tc>
          <w:tcPr>
            <w:tcW w:type="dxa" w:w="48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31-60 days</w:t>
            </w:r>
          </w:p>
        </w:tc>
        <w:tc>
          <w:tcPr>
            <w:tcW w:type="dxa" w:w="4896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rFonts w:ascii="Nunito" w:hAnsi="Nunito" w:eastAsia="Nunito" w:cs="Nunito"/>
                <w:sz w:val="20"/>
              </w:rPr>
              <w:t>61-90 days</w:t>
            </w:r>
          </w:p>
        </w:tc>
        <w:tc>
          <w:tcPr>
            <w:tcW w:type="dxa" w:w="4896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What we still do not know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[Honest limitations - this builds credibility.]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