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Buddy Guide</w:t>
      </w:r>
    </w:p>
    <w:p>
      <w:r>
        <w:rPr>
          <w:i/>
          <w:color w:val="666666"/>
          <w:sz w:val="24"/>
        </w:rPr>
        <w:t>Progressive hints, not answers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Your job is to ask better questions, not to solve the case. Use the three-level hint ladder below. Only move to the next level if the team is genuinely stuck.</w:t>
      </w:r>
    </w:p>
    <w:p>
      <w:pPr>
        <w:pStyle w:val="Heading1"/>
      </w:pPr>
      <w:r>
        <w:rPr>
          <w:rFonts w:ascii="Calibri" w:hAnsi="Calibri"/>
          <w:color w:val="1B2A4A"/>
        </w:rPr>
        <w:t>The hint ladder</w:t>
      </w:r>
    </w:p>
    <w:p>
      <w:pPr>
        <w:pStyle w:val="Heading2"/>
      </w:pPr>
      <w:r>
        <w:rPr>
          <w:rFonts w:ascii="Calibri" w:hAnsi="Calibri"/>
          <w:color w:val="1B2A4A"/>
        </w:rPr>
        <w:t>Problem framing</w:t>
      </w:r>
    </w:p>
    <w:p>
      <w:pPr>
        <w:pStyle w:val="ListNumber"/>
        <w:ind w:left="360"/>
      </w:pPr>
      <w:r>
        <w:rPr>
          <w:rFonts w:ascii="Calibri" w:hAnsi="Calibri"/>
        </w:rPr>
        <w:t>Level 1: What exactly is the Board asking you to decide?</w:t>
      </w:r>
    </w:p>
    <w:p>
      <w:pPr>
        <w:pStyle w:val="ListNumber"/>
        <w:ind w:left="360"/>
      </w:pPr>
      <w:r>
        <w:rPr>
          <w:rFonts w:ascii="Calibri" w:hAnsi="Calibri"/>
        </w:rPr>
        <w:t>Level 2: Is your problem statement about programmes, geography, funding, or all three?</w:t>
      </w:r>
    </w:p>
    <w:p>
      <w:pPr>
        <w:pStyle w:val="ListNumber"/>
        <w:ind w:left="360"/>
      </w:pPr>
      <w:r>
        <w:rPr>
          <w:rFonts w:ascii="Calibri" w:hAnsi="Calibri"/>
        </w:rPr>
        <w:t>Level 3: Point them to the four factions in the handbook and ask which trade-off matters most.</w:t>
      </w:r>
    </w:p>
    <w:p>
      <w:pPr>
        <w:pStyle w:val="Heading2"/>
      </w:pPr>
      <w:r>
        <w:rPr>
          <w:rFonts w:ascii="Calibri" w:hAnsi="Calibri"/>
          <w:color w:val="1B2A4A"/>
        </w:rPr>
        <w:t>Data credibility</w:t>
      </w:r>
    </w:p>
    <w:p>
      <w:pPr>
        <w:pStyle w:val="ListNumber"/>
        <w:ind w:left="360"/>
      </w:pPr>
      <w:r>
        <w:rPr>
          <w:rFonts w:ascii="Calibri" w:hAnsi="Calibri"/>
        </w:rPr>
        <w:t>Level 1: Do all your sources deserve equal trust?</w:t>
      </w:r>
    </w:p>
    <w:p>
      <w:pPr>
        <w:pStyle w:val="ListNumber"/>
        <w:ind w:left="360"/>
      </w:pPr>
      <w:r>
        <w:rPr>
          <w:rFonts w:ascii="Calibri" w:hAnsi="Calibri"/>
        </w:rPr>
        <w:t>Level 2: Compare what D-01 says with what D-02 says - which is candid?</w:t>
      </w:r>
    </w:p>
    <w:p>
      <w:pPr>
        <w:pStyle w:val="ListNumber"/>
        <w:ind w:left="360"/>
      </w:pPr>
      <w:r>
        <w:rPr>
          <w:rFonts w:ascii="Calibri" w:hAnsi="Calibri"/>
        </w:rPr>
        <w:t>Level 3: Ask them to build the credibility matrix before believing any single number.</w:t>
      </w:r>
    </w:p>
    <w:p>
      <w:pPr>
        <w:pStyle w:val="Heading2"/>
      </w:pPr>
      <w:r>
        <w:rPr>
          <w:rFonts w:ascii="Calibri" w:hAnsi="Calibri"/>
          <w:color w:val="1B2A4A"/>
        </w:rPr>
        <w:t>Placement rate</w:t>
      </w:r>
    </w:p>
    <w:p>
      <w:pPr>
        <w:pStyle w:val="ListNumber"/>
        <w:ind w:left="360"/>
      </w:pPr>
      <w:r>
        <w:rPr>
          <w:rFonts w:ascii="Calibri" w:hAnsi="Calibri"/>
        </w:rPr>
        <w:t>Level 1: What does 'placed' actually mean here?</w:t>
      </w:r>
    </w:p>
    <w:p>
      <w:pPr>
        <w:pStyle w:val="ListNumber"/>
        <w:ind w:left="360"/>
      </w:pPr>
      <w:r>
        <w:rPr>
          <w:rFonts w:ascii="Calibri" w:hAnsi="Calibri"/>
        </w:rPr>
        <w:t>Level 2: Whose definition are you using - D-01's or ST-02's?</w:t>
      </w:r>
    </w:p>
    <w:p>
      <w:pPr>
        <w:pStyle w:val="ListNumber"/>
        <w:ind w:left="360"/>
      </w:pPr>
      <w:r>
        <w:rPr>
          <w:rFonts w:ascii="Calibri" w:hAnsi="Calibri"/>
        </w:rPr>
        <w:t>Level 3: Have them compute both the broad and the formal rate and report both.</w:t>
      </w:r>
    </w:p>
    <w:p>
      <w:pPr>
        <w:pStyle w:val="Heading2"/>
      </w:pPr>
      <w:r>
        <w:rPr>
          <w:rFonts w:ascii="Calibri" w:hAnsi="Calibri"/>
          <w:color w:val="1B2A4A"/>
        </w:rPr>
        <w:t>Recommendations</w:t>
      </w:r>
    </w:p>
    <w:p>
      <w:pPr>
        <w:pStyle w:val="ListNumber"/>
        <w:ind w:left="360"/>
      </w:pPr>
      <w:r>
        <w:rPr>
          <w:rFonts w:ascii="Calibri" w:hAnsi="Calibri"/>
        </w:rPr>
        <w:t>Level 1: What is the evidence for that claim?</w:t>
      </w:r>
    </w:p>
    <w:p>
      <w:pPr>
        <w:pStyle w:val="ListNumber"/>
        <w:ind w:left="360"/>
      </w:pPr>
      <w:r>
        <w:rPr>
          <w:rFonts w:ascii="Calibri" w:hAnsi="Calibri"/>
        </w:rPr>
        <w:t>Level 2: Which transcript or dataset backs this up?</w:t>
      </w:r>
    </w:p>
    <w:p>
      <w:pPr>
        <w:pStyle w:val="ListNumber"/>
        <w:ind w:left="360"/>
      </w:pPr>
      <w:r>
        <w:rPr>
          <w:rFonts w:ascii="Calibri" w:hAnsi="Calibri"/>
        </w:rPr>
        <w:t>Level 3: Ask them to map every recommendation to a source in the validation protocol.</w:t>
      </w:r>
    </w:p>
    <w:p>
      <w:pPr>
        <w:pStyle w:val="Heading1"/>
      </w:pPr>
      <w:r>
        <w:rPr>
          <w:rFonts w:ascii="Calibri" w:hAnsi="Calibri"/>
          <w:color w:val="1B2A4A"/>
        </w:rPr>
        <w:t>Check-in schedule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Fridays of Weeks 1-5. Fifteen minutes. Review project-management discipline (logs, minutes, RACI) and whether claims are cited. Do not review answers for correctness.</w:t>
      </w:r>
    </w:p>
    <w:p>
      <w:pPr>
        <w:pStyle w:val="Heading1"/>
      </w:pPr>
      <w:r>
        <w:rPr>
          <w:rFonts w:ascii="Calibri" w:hAnsi="Calibri"/>
          <w:color w:val="1B2A4A"/>
        </w:rPr>
        <w:t>Common mistakes to expect</w:t>
      </w:r>
    </w:p>
    <w:p>
      <w:pPr>
        <w:pStyle w:val="ListBullet"/>
        <w:ind w:left="360"/>
      </w:pPr>
      <w:r>
        <w:rPr>
          <w:rFonts w:ascii="Calibri" w:hAnsi="Calibri"/>
        </w:rPr>
        <w:t>Accepting the 71% placement rate at face value.</w:t>
      </w:r>
    </w:p>
    <w:p>
      <w:pPr>
        <w:pStyle w:val="ListBullet"/>
        <w:ind w:left="360"/>
      </w:pPr>
      <w:r>
        <w:rPr>
          <w:rFonts w:ascii="Calibri" w:hAnsi="Calibri"/>
        </w:rPr>
        <w:t>Recommending national scale without fixing Dong Nai.</w:t>
      </w:r>
    </w:p>
    <w:p>
      <w:pPr>
        <w:pStyle w:val="ListBullet"/>
        <w:ind w:left="360"/>
      </w:pPr>
      <w:r>
        <w:rPr>
          <w:rFonts w:ascii="Calibri" w:hAnsi="Calibri"/>
        </w:rPr>
        <w:t>Treating the board email (D-08) as fact.</w:t>
      </w:r>
    </w:p>
    <w:p>
      <w:pPr>
        <w:pStyle w:val="ListBullet"/>
        <w:ind w:left="360"/>
      </w:pPr>
      <w:r>
        <w:rPr>
          <w:rFonts w:ascii="Calibri" w:hAnsi="Calibri"/>
        </w:rPr>
        <w:t>Claiming attendance causes placement.</w:t>
      </w:r>
    </w:p>
    <w:p>
      <w:pPr>
        <w:pStyle w:val="ListBullet"/>
        <w:ind w:left="360"/>
      </w:pPr>
      <w:r>
        <w:rPr>
          <w:rFonts w:ascii="Calibri" w:hAnsi="Calibri"/>
        </w:rPr>
        <w:t>Hiding the disability placement gap.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