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Assessment Rubric</w:t>
      </w:r>
    </w:p>
    <w:p>
      <w:r>
        <w:rPr>
          <w:i/>
          <w:color w:val="666666"/>
          <w:sz w:val="24"/>
        </w:rPr>
        <w:t>100 points - descriptors for each level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Score each criterion against the descriptors. Weight as shown.</w:t>
      </w:r>
    </w:p>
    <w:p>
      <w:pPr>
        <w:pStyle w:val="Heading2"/>
      </w:pPr>
      <w:r>
        <w:rPr>
          <w:rFonts w:ascii="Calibri" w:hAnsi="Calibri"/>
          <w:color w:val="1B2A4A"/>
        </w:rPr>
        <w:t>Problem understanding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Precise, MECE issue tree; clear trade-offs identified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Solid framing; minor gaps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Generic framing; some overlap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Misreads the problem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Research quality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Sources triangulated; credibility assessed; contradictions resolved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Most sources used well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Uses sources uncritically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Ignores or misuses sources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Design thinking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Evidence-based empathy and journey maps; ideation tied to pain points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Competent maps and ideation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Mechanical, thin on evidence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Superficial or missing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Data analysis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Clean data, honest definitions, correct interpretation, limitations stated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Mostly sound; small errors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Basic analysis; weak interpretation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Errors or misleading charts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Recommendations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Distinct options; clear, feasible, evidence-based choice; ethics engaged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Reasonable, mostly supported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Vague or weakly supported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Unsupported or infeasible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Presentation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Answer-first storyline; every slide earns its place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Clear and mostly disciplined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Some data-dumping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Disorganised or decorative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Project management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Logs, RACI, version control all maintained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Mostly maintained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Patchy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Absent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Teamwork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Genuine cross-audit; shared ownership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Good collaboration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Uneven contribution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Free-riding evident</w:t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