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Solution Paths</w:t>
      </w:r>
    </w:p>
    <w:p>
      <w:r>
        <w:rPr>
          <w:i/>
          <w:color w:val="666666"/>
          <w:sz w:val="24"/>
        </w:rPr>
        <w:t>CONFIDENTIAL - there is no single correct answer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Reward reasoning, not a particular destination. The following are strong, defensible paths. Weak answers pick one slogan and ignore the evidence against it.</w:t>
      </w:r>
    </w:p>
    <w:p>
      <w:pPr>
        <w:pStyle w:val="Heading2"/>
      </w:pPr>
      <w:r>
        <w:rPr>
          <w:rFonts w:ascii="Calibri" w:hAnsi="Calibri"/>
          <w:color w:val="1B2A4A"/>
        </w:rPr>
        <w:t>Path A - Depth before scale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Pause expansion, fix Dong Nai and employer quality, negotiate a smaller quality-focused VPBank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Honest about D-02; addresses EP-02 and ST-05; sustainable.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May leave money on the table; must convince VPBank (see DN-01).</w:t>
      </w:r>
    </w:p>
    <w:p>
      <w:pPr>
        <w:pStyle w:val="Heading2"/>
      </w:pPr>
      <w:r>
        <w:rPr>
          <w:rFonts w:ascii="Calibri" w:hAnsi="Calibri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Balances DN-01 and BD-01; keeps the grant; stages risk.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Execution-heavy; needs credible M&amp;E to hold the line.</w:t>
      </w:r>
    </w:p>
    <w:p>
      <w:pPr>
        <w:pStyle w:val="Heading2"/>
      </w:pPr>
      <w:r>
        <w:rPr>
          <w:rFonts w:ascii="Calibri" w:hAnsi="Calibri"/>
          <w:color w:val="1B2A4A"/>
        </w:rPr>
        <w:t>Path C - Employer-led pivot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Certify and audit employers; place only with vetted partners; make quality the brand.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Directly answers EP-02, ST-05, BN-02; differentiates from YouthWorks.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Slower growth; needs employer buy-in.</w:t>
      </w:r>
    </w:p>
    <w:p>
      <w:pPr>
        <w:pStyle w:val="Heading2"/>
      </w:pPr>
      <w:r>
        <w:rPr>
          <w:rFonts w:ascii="Calibri" w:hAnsi="Calibri"/>
          <w:color w:val="1B2A4A"/>
        </w:rPr>
        <w:t>Path D - Digital hybrid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Grow Pathway Digital for reach, keep Skills Forward for depth.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Lower unit cost (D-12); serves waitlist faster.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Digital placement is weaker; equity risk (BN-01 has no laptop); only valid with caveats.</w:t>
      </w:r>
    </w:p>
    <w:p>
      <w:pPr>
        <w:pStyle w:val="Heading1"/>
      </w:pPr>
      <w:r>
        <w:rPr>
          <w:rFonts w:ascii="Calibri" w:hAnsi="Calibri"/>
          <w:color w:val="1B2A4A"/>
        </w:rPr>
        <w:t>Red lines (mark down if crossed)</w:t>
      </w:r>
    </w:p>
    <w:p>
      <w:pPr>
        <w:pStyle w:val="ListBullet"/>
        <w:ind w:left="360"/>
      </w:pPr>
      <w:r>
        <w:rPr>
          <w:rFonts w:ascii="Calibri" w:hAnsi="Calibri"/>
        </w:rPr>
        <w:t>Recommending 60-day reporting to look better (fails ED-02).</w:t>
      </w:r>
    </w:p>
    <w:p>
      <w:pPr>
        <w:pStyle w:val="ListBullet"/>
        <w:ind w:left="360"/>
      </w:pPr>
      <w:r>
        <w:rPr>
          <w:rFonts w:ascii="Calibri" w:hAnsi="Calibri"/>
        </w:rPr>
        <w:t>Replacing caseworkers with volunteers (contradicts VR-01).</w:t>
      </w:r>
    </w:p>
    <w:p>
      <w:pPr>
        <w:pStyle w:val="ListBullet"/>
        <w:ind w:left="360"/>
      </w:pPr>
      <w:r>
        <w:rPr>
          <w:rFonts w:ascii="Calibri" w:hAnsi="Calibri"/>
        </w:rPr>
        <w:t>National scale with no fix for Dong Nai.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