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Analysis Summary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Calibri" w:hAnsi="Calibri"/>
          <w:color w:val="1B2A4A"/>
        </w:rPr>
        <w:t>Headline findings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5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45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Caveat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Attendance and outcomes (DB-3)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State the association and at least two confounders. Correlation is not causation.</w:t>
      </w:r>
    </w:p>
    <w:p>
      <w:pPr>
        <w:pStyle w:val="Heading2"/>
      </w:pPr>
      <w:r>
        <w:rPr>
          <w:rFonts w:ascii="Calibri" w:hAnsi="Calibri"/>
          <w:color w:val="1B2A4A"/>
        </w:rPr>
        <w:t>Mentoring and completion (DB-4)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