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007A87"/>
          <w:sz w:val="24"/>
        </w:rPr>
        <w:t>Momentum Programme   |   Scaling with Integrity</w:t>
      </w:r>
    </w:p>
    <w:p>
      <w:pPr>
        <w:spacing w:after="40"/>
      </w:pPr>
      <w:r>
        <w:rPr>
          <w:b/>
          <w:color w:val="1B2A4A"/>
          <w:sz w:val="48"/>
        </w:rPr>
        <w:t>Data Quality Report</w:t>
      </w:r>
    </w:p>
    <w:p>
      <w:r>
        <w:rPr>
          <w:i/>
          <w:color w:val="666666"/>
          <w:sz w:val="24"/>
        </w:rPr>
        <w:t>Template - complete and export to PDF before submission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2592"/>
          </w:tcPr>
          <w:p>
            <w:r>
              <w:rPr>
                <w:b/>
                <w:color w:val="1B2A4A"/>
                <w:sz w:val="20"/>
              </w:rPr>
              <w:t>Client</w:t>
            </w:r>
          </w:p>
        </w:tc>
        <w:tc>
          <w:tcPr>
            <w:tcW w:type="dxa" w:w="6624"/>
          </w:tcPr>
          <w:p>
            <w:r>
              <w:rPr>
                <w:color w:val="222222"/>
                <w:sz w:val="20"/>
              </w:rPr>
              <w:t>Generation Bridge Foundation</w:t>
            </w:r>
          </w:p>
        </w:tc>
      </w:tr>
      <w:tr>
        <w:tc>
          <w:tcPr>
            <w:tcW w:type="dxa" w:w="2592"/>
          </w:tcPr>
          <w:p>
            <w:r>
              <w:rPr>
                <w:b/>
                <w:color w:val="1B2A4A"/>
                <w:sz w:val="20"/>
              </w:rPr>
              <w:t>Classification</w:t>
            </w:r>
          </w:p>
        </w:tc>
        <w:tc>
          <w:tcPr>
            <w:tcW w:type="dxa" w:w="6624"/>
          </w:tcPr>
          <w:p>
            <w:r>
              <w:rPr>
                <w:color w:val="222222"/>
                <w:sz w:val="20"/>
              </w:rPr>
              <w:t>Participant template</w:t>
            </w:r>
          </w:p>
        </w:tc>
      </w:tr>
      <w:tr>
        <w:tc>
          <w:tcPr>
            <w:tcW w:type="dxa" w:w="2592"/>
          </w:tcPr>
          <w:p>
            <w:r>
              <w:rPr>
                <w:b/>
                <w:color w:val="1B2A4A"/>
                <w:sz w:val="20"/>
              </w:rPr>
              <w:t>Version</w:t>
            </w:r>
          </w:p>
        </w:tc>
        <w:tc>
          <w:tcPr>
            <w:tcW w:type="dxa" w:w="6624"/>
          </w:tcPr>
          <w:p>
            <w:r>
              <w:rPr>
                <w:color w:val="222222"/>
                <w:sz w:val="20"/>
              </w:rPr>
              <w:t>2.0 | July 2026</w:t>
            </w:r>
          </w:p>
        </w:tc>
      </w:tr>
    </w:tbl>
    <w:p/>
    <w:p>
      <w:pPr>
        <w:pBdr>
          <w:bottom w:val="single" w:sz="8" w:space="1" w:color="007A87"/>
        </w:pBdr>
      </w:pPr>
    </w:p>
    <w:p>
      <w:pPr>
        <w:spacing w:after="120"/>
      </w:pPr>
      <w:r>
        <w:rPr>
          <w:rFonts w:ascii="Calibri" w:hAnsi="Calibri"/>
          <w:b w:val="0"/>
          <w:i w:val="0"/>
          <w:color w:val="222222"/>
          <w:sz w:val="22"/>
        </w:rPr>
        <w:t>Two pages maximum. Report what you found and what you did about it.</w:t>
      </w:r>
    </w:p>
    <w:p>
      <w:pPr>
        <w:pStyle w:val="Heading2"/>
      </w:pPr>
      <w:r>
        <w:rPr>
          <w:rFonts w:ascii="Calibri" w:hAnsi="Calibri"/>
          <w:color w:val="1B2A4A"/>
        </w:rPr>
        <w:t>Issues identified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904"/>
        <w:gridCol w:w="1904"/>
        <w:gridCol w:w="1904"/>
        <w:gridCol w:w="1904"/>
        <w:gridCol w:w="1904"/>
      </w:tblGrid>
      <w:tr>
        <w:tc>
          <w:tcPr>
            <w:tcW w:type="dxa" w:w="576"/>
            <w:shd w:val="clear" w:color="auto" w:fill="1B2A4A"/>
          </w:tcPr>
          <w:p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type="dxa" w:w="2304"/>
            <w:shd w:val="clear" w:color="auto" w:fill="1B2A4A"/>
          </w:tcPr>
          <w:p>
            <w:r>
              <w:rPr>
                <w:b/>
                <w:color w:val="FFFFFF"/>
                <w:sz w:val="20"/>
              </w:rPr>
              <w:t>Table</w:t>
            </w:r>
          </w:p>
        </w:tc>
        <w:tc>
          <w:tcPr>
            <w:tcW w:type="dxa" w:w="2880"/>
            <w:shd w:val="clear" w:color="auto" w:fill="1B2A4A"/>
          </w:tcPr>
          <w:p>
            <w:r>
              <w:rPr>
                <w:b/>
                <w:color w:val="FFFFFF"/>
                <w:sz w:val="20"/>
              </w:rPr>
              <w:t>Issue</w:t>
            </w:r>
          </w:p>
        </w:tc>
        <w:tc>
          <w:tcPr>
            <w:tcW w:type="dxa" w:w="1440"/>
            <w:shd w:val="clear" w:color="auto" w:fill="1B2A4A"/>
          </w:tcPr>
          <w:p>
            <w:r>
              <w:rPr>
                <w:b/>
                <w:color w:val="FFFFFF"/>
                <w:sz w:val="20"/>
              </w:rPr>
              <w:t>Severity</w:t>
            </w:r>
          </w:p>
        </w:tc>
        <w:tc>
          <w:tcPr>
            <w:tcW w:type="dxa" w:w="2016"/>
            <w:shd w:val="clear" w:color="auto" w:fill="1B2A4A"/>
          </w:tcPr>
          <w:p>
            <w:r>
              <w:rPr>
                <w:b/>
                <w:color w:val="FFFFFF"/>
                <w:sz w:val="20"/>
              </w:rPr>
              <w:t>Action taken</w:t>
            </w:r>
          </w:p>
        </w:tc>
      </w:tr>
      <w:tr>
        <w:tc>
          <w:tcPr>
            <w:tcW w:type="dxa" w:w="576"/>
          </w:tcPr>
          <w:p>
            <w:r>
              <w:rPr>
                <w:sz w:val="20"/>
              </w:rPr>
            </w:r>
          </w:p>
        </w:tc>
        <w:tc>
          <w:tcPr>
            <w:tcW w:type="dxa" w:w="2304"/>
          </w:tcPr>
          <w:p>
            <w:r>
              <w:rPr>
                <w:sz w:val="20"/>
              </w:rPr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2016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576"/>
            <w:shd w:val="clear" w:color="auto" w:fill="F2F4F7"/>
          </w:tcPr>
          <w:p>
            <w:r>
              <w:rPr>
                <w:sz w:val="20"/>
              </w:rPr>
            </w:r>
          </w:p>
        </w:tc>
        <w:tc>
          <w:tcPr>
            <w:tcW w:type="dxa" w:w="2304"/>
            <w:shd w:val="clear" w:color="auto" w:fill="F2F4F7"/>
          </w:tcPr>
          <w:p>
            <w:r>
              <w:rPr>
                <w:sz w:val="20"/>
              </w:rPr>
            </w:r>
          </w:p>
        </w:tc>
        <w:tc>
          <w:tcPr>
            <w:tcW w:type="dxa" w:w="2880"/>
            <w:shd w:val="clear" w:color="auto" w:fill="F2F4F7"/>
          </w:tcPr>
          <w:p>
            <w:r>
              <w:rPr>
                <w:sz w:val="20"/>
              </w:rPr>
            </w:r>
          </w:p>
        </w:tc>
        <w:tc>
          <w:tcPr>
            <w:tcW w:type="dxa" w:w="1440"/>
            <w:shd w:val="clear" w:color="auto" w:fill="F2F4F7"/>
          </w:tcPr>
          <w:p>
            <w:r>
              <w:rPr>
                <w:sz w:val="20"/>
              </w:rPr>
            </w:r>
          </w:p>
        </w:tc>
        <w:tc>
          <w:tcPr>
            <w:tcW w:type="dxa" w:w="2016"/>
            <w:shd w:val="clear" w:color="auto" w:fill="F2F4F7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576"/>
          </w:tcPr>
          <w:p>
            <w:r>
              <w:rPr>
                <w:sz w:val="20"/>
              </w:rPr>
            </w:r>
          </w:p>
        </w:tc>
        <w:tc>
          <w:tcPr>
            <w:tcW w:type="dxa" w:w="2304"/>
          </w:tcPr>
          <w:p>
            <w:r>
              <w:rPr>
                <w:sz w:val="20"/>
              </w:rPr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2016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576"/>
            <w:shd w:val="clear" w:color="auto" w:fill="F2F4F7"/>
          </w:tcPr>
          <w:p>
            <w:r>
              <w:rPr>
                <w:sz w:val="20"/>
              </w:rPr>
            </w:r>
          </w:p>
        </w:tc>
        <w:tc>
          <w:tcPr>
            <w:tcW w:type="dxa" w:w="2304"/>
            <w:shd w:val="clear" w:color="auto" w:fill="F2F4F7"/>
          </w:tcPr>
          <w:p>
            <w:r>
              <w:rPr>
                <w:sz w:val="20"/>
              </w:rPr>
            </w:r>
          </w:p>
        </w:tc>
        <w:tc>
          <w:tcPr>
            <w:tcW w:type="dxa" w:w="2880"/>
            <w:shd w:val="clear" w:color="auto" w:fill="F2F4F7"/>
          </w:tcPr>
          <w:p>
            <w:r>
              <w:rPr>
                <w:sz w:val="20"/>
              </w:rPr>
            </w:r>
          </w:p>
        </w:tc>
        <w:tc>
          <w:tcPr>
            <w:tcW w:type="dxa" w:w="1440"/>
            <w:shd w:val="clear" w:color="auto" w:fill="F2F4F7"/>
          </w:tcPr>
          <w:p>
            <w:r>
              <w:rPr>
                <w:sz w:val="20"/>
              </w:rPr>
            </w:r>
          </w:p>
        </w:tc>
        <w:tc>
          <w:tcPr>
            <w:tcW w:type="dxa" w:w="2016"/>
            <w:shd w:val="clear" w:color="auto" w:fill="F2F4F7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576"/>
          </w:tcPr>
          <w:p>
            <w:r>
              <w:rPr>
                <w:sz w:val="20"/>
              </w:rPr>
            </w:r>
          </w:p>
        </w:tc>
        <w:tc>
          <w:tcPr>
            <w:tcW w:type="dxa" w:w="2304"/>
          </w:tcPr>
          <w:p>
            <w:r>
              <w:rPr>
                <w:sz w:val="20"/>
              </w:rPr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2016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576"/>
            <w:shd w:val="clear" w:color="auto" w:fill="F2F4F7"/>
          </w:tcPr>
          <w:p>
            <w:r>
              <w:rPr>
                <w:sz w:val="20"/>
              </w:rPr>
            </w:r>
          </w:p>
        </w:tc>
        <w:tc>
          <w:tcPr>
            <w:tcW w:type="dxa" w:w="2304"/>
            <w:shd w:val="clear" w:color="auto" w:fill="F2F4F7"/>
          </w:tcPr>
          <w:p>
            <w:r>
              <w:rPr>
                <w:sz w:val="20"/>
              </w:rPr>
            </w:r>
          </w:p>
        </w:tc>
        <w:tc>
          <w:tcPr>
            <w:tcW w:type="dxa" w:w="2880"/>
            <w:shd w:val="clear" w:color="auto" w:fill="F2F4F7"/>
          </w:tcPr>
          <w:p>
            <w:r>
              <w:rPr>
                <w:sz w:val="20"/>
              </w:rPr>
            </w:r>
          </w:p>
        </w:tc>
        <w:tc>
          <w:tcPr>
            <w:tcW w:type="dxa" w:w="1440"/>
            <w:shd w:val="clear" w:color="auto" w:fill="F2F4F7"/>
          </w:tcPr>
          <w:p>
            <w:r>
              <w:rPr>
                <w:sz w:val="20"/>
              </w:rPr>
            </w:r>
          </w:p>
        </w:tc>
        <w:tc>
          <w:tcPr>
            <w:tcW w:type="dxa" w:w="2016"/>
            <w:shd w:val="clear" w:color="auto" w:fill="F2F4F7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576"/>
          </w:tcPr>
          <w:p>
            <w:r>
              <w:rPr>
                <w:sz w:val="20"/>
              </w:rPr>
            </w:r>
          </w:p>
        </w:tc>
        <w:tc>
          <w:tcPr>
            <w:tcW w:type="dxa" w:w="2304"/>
          </w:tcPr>
          <w:p>
            <w:r>
              <w:rPr>
                <w:sz w:val="20"/>
              </w:rPr>
            </w:r>
          </w:p>
        </w:tc>
        <w:tc>
          <w:tcPr>
            <w:tcW w:type="dxa" w:w="2880"/>
          </w:tcPr>
          <w:p>
            <w:r>
              <w:rPr>
                <w:sz w:val="20"/>
              </w:rPr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</w:p>
        </w:tc>
        <w:tc>
          <w:tcPr>
            <w:tcW w:type="dxa" w:w="2016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576"/>
            <w:shd w:val="clear" w:color="auto" w:fill="F2F4F7"/>
          </w:tcPr>
          <w:p>
            <w:r>
              <w:rPr>
                <w:sz w:val="20"/>
              </w:rPr>
            </w:r>
          </w:p>
        </w:tc>
        <w:tc>
          <w:tcPr>
            <w:tcW w:type="dxa" w:w="2304"/>
            <w:shd w:val="clear" w:color="auto" w:fill="F2F4F7"/>
          </w:tcPr>
          <w:p>
            <w:r>
              <w:rPr>
                <w:sz w:val="20"/>
              </w:rPr>
            </w:r>
          </w:p>
        </w:tc>
        <w:tc>
          <w:tcPr>
            <w:tcW w:type="dxa" w:w="2880"/>
            <w:shd w:val="clear" w:color="auto" w:fill="F2F4F7"/>
          </w:tcPr>
          <w:p>
            <w:r>
              <w:rPr>
                <w:sz w:val="20"/>
              </w:rPr>
            </w:r>
          </w:p>
        </w:tc>
        <w:tc>
          <w:tcPr>
            <w:tcW w:type="dxa" w:w="1440"/>
            <w:shd w:val="clear" w:color="auto" w:fill="F2F4F7"/>
          </w:tcPr>
          <w:p>
            <w:r>
              <w:rPr>
                <w:sz w:val="20"/>
              </w:rPr>
            </w:r>
          </w:p>
        </w:tc>
        <w:tc>
          <w:tcPr>
            <w:tcW w:type="dxa" w:w="2016"/>
            <w:shd w:val="clear" w:color="auto" w:fill="F2F4F7"/>
          </w:tcPr>
          <w:p>
            <w:r>
              <w:rPr>
                <w:sz w:val="20"/>
              </w:rPr>
            </w:r>
          </w:p>
        </w:tc>
      </w:tr>
    </w:tbl>
    <w:p/>
    <w:p>
      <w:pPr>
        <w:pStyle w:val="Heading2"/>
      </w:pPr>
      <w:r>
        <w:rPr>
          <w:rFonts w:ascii="Calibri" w:hAnsi="Calibri"/>
          <w:color w:val="1B2A4A"/>
        </w:rPr>
        <w:t>Cleaning decisions and rationale</w:t>
      </w:r>
    </w:p>
    <w:p>
      <w:pPr>
        <w:spacing w:after="120"/>
      </w:pPr>
      <w:r>
        <w:rPr>
          <w:rFonts w:ascii="Calibri" w:hAnsi="Calibri"/>
          <w:b w:val="0"/>
          <w:i w:val="0"/>
          <w:color w:val="222222"/>
          <w:sz w:val="22"/>
        </w:rPr>
        <w:t>________________________________________________________________</w:t>
      </w:r>
    </w:p>
    <w:p>
      <w:pPr>
        <w:pStyle w:val="Heading2"/>
      </w:pPr>
      <w:r>
        <w:rPr>
          <w:rFonts w:ascii="Calibri" w:hAnsi="Calibri"/>
          <w:color w:val="1B2A4A"/>
        </w:rPr>
        <w:t>Placement definition used</w:t>
      </w:r>
    </w:p>
    <w:p>
      <w:pPr>
        <w:spacing w:after="120"/>
      </w:pPr>
      <w:r>
        <w:rPr>
          <w:rFonts w:ascii="Calibri" w:hAnsi="Calibri"/>
          <w:b w:val="0"/>
          <w:i w:val="0"/>
          <w:color w:val="222222"/>
          <w:sz w:val="22"/>
        </w:rPr>
        <w:t>State which definition you adopted and why.</w:t>
      </w:r>
    </w:p>
    <w:sectPr w:rsidR="00FC693F" w:rsidRPr="0006063C" w:rsidSect="00034616">
      <w:pgSz w:w="12240" w:h="15840"/>
      <w:pgMar w:top="1361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color w:val="222222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