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there is no single correct answer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Reward reasoning, not a particular destination. Strong teams name what their preferred path costs. Weak answers pick one slogan and ignore the evidence against it.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expansion, fix Dong Nai and employer quality,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 and ST-05; sustainable.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May leave money on the table; must convince VPBank (see 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DN-01 and BD-01; keeps the grant; stages risk.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Execution-heavy; needs credible M&amp;E to hold the line.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Certify and audit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Directly answers EP-02, ST-05, BN-02; differentiates from YouthWorks.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Slower growth; needs employer buy-in.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reach, keep Skills Forward for depth.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serves waitlist faster.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Digital placement is weaker; equity risk (BN-01 has no laptop); only valid with caveats.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(mark down if crossed)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60-day reporting as the primary metric to look better.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scale with no fix for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'the dataset'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