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Lexend" w:hAnsi="Lexend" w:eastAsia="Lexend" w:cs="Lexend"/>
          <w:b/>
          <w:color w:val="007A87"/>
          <w:sz w:val="24"/>
        </w:rPr>
        <w:t>Momentum Programme   |   Scaling with Integrity</w:t>
      </w:r>
    </w:p>
    <w:p>
      <w:pPr>
        <w:spacing w:after="40"/>
      </w:pPr>
      <w:r>
        <w:rPr>
          <w:rFonts w:ascii="Lexend" w:hAnsi="Lexend" w:eastAsia="Lexend" w:cs="Lexend"/>
          <w:b/>
          <w:color w:val="1B2A4A"/>
          <w:sz w:val="48"/>
        </w:rPr>
        <w:t>Cross-Workflow Handoff Checklist</w:t>
      </w:r>
    </w:p>
    <w:p>
      <w:r>
        <w:rPr>
          <w:rFonts w:ascii="Nunito" w:hAnsi="Nunito" w:eastAsia="Nunito" w:cs="Nunito"/>
          <w:i/>
          <w:color w:val="666666"/>
          <w:sz w:val="24"/>
        </w:rPr>
        <w:t>Template - complete and export to PDF before submission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Client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Generation Bridge Foundation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Classification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Participant template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Version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3.1 | July-September 2026</w:t>
            </w:r>
          </w:p>
        </w:tc>
      </w:tr>
    </w:tbl>
    <w:p/>
    <w:p>
      <w:pPr>
        <w:pBdr>
          <w:bottom w:val="single" w:sz="8" w:space="1" w:color="007A87"/>
        </w:pBdr>
      </w:pP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No deliverable may be submitted until both workflows have completed and confirmed their sections. Use online ticks (typed name + date) - no wet signature. The Engagement Lead confirms only if A_B_Exchange/ and the Request Log show genuine exchange (not a single dump at the end).</w:t>
      </w:r>
    </w:p>
    <w:p>
      <w:pPr>
        <w:pStyle w:val="Heading2"/>
      </w:pPr>
      <w:r>
        <w:rPr>
          <w:rFonts w:ascii="Lexend" w:hAnsi="Lexend" w:eastAsia="Lexend" w:cs="Lexend"/>
          <w:color w:val="1B2A4A"/>
        </w:rPr>
        <w:t>Section A - Workflow A reviews Workflow B</w:t>
      </w:r>
    </w:p>
    <w:p>
      <w:pPr>
        <w:pStyle w:val="ListBullet"/>
        <w:ind w:left="360"/>
      </w:pPr>
      <w:r>
        <w:rPr>
          <w:rFonts w:ascii="Nunito" w:hAnsi="Nunito" w:eastAsia="Nunito" w:cs="Nunito"/>
        </w:rPr>
        <w:t>[  ]  Findings Memos answer the question asked, in plain language.</w:t>
      </w:r>
    </w:p>
    <w:p>
      <w:pPr>
        <w:pStyle w:val="ListBullet"/>
        <w:ind w:left="360"/>
      </w:pPr>
      <w:r>
        <w:rPr>
          <w:rFonts w:ascii="Nunito" w:hAnsi="Nunito" w:eastAsia="Nunito" w:cs="Nunito"/>
        </w:rPr>
        <w:t>[  ]  Each FM-xx PDF is saved in A_B_Exchange/ and logged on the Request Log.</w:t>
      </w:r>
    </w:p>
    <w:p>
      <w:pPr>
        <w:pStyle w:val="ListBullet"/>
        <w:ind w:left="360"/>
      </w:pPr>
      <w:r>
        <w:rPr>
          <w:rFonts w:ascii="Nunito" w:hAnsi="Nunito" w:eastAsia="Nunito" w:cs="Nunito"/>
        </w:rPr>
        <w:t>[  ]  The raw workbook and data dictionary were not shared with A.</w:t>
      </w:r>
    </w:p>
    <w:p>
      <w:pPr>
        <w:pStyle w:val="ListBullet"/>
        <w:ind w:left="360"/>
      </w:pPr>
      <w:r>
        <w:rPr>
          <w:rFonts w:ascii="Nunito" w:hAnsi="Nunito" w:eastAsia="Nunito" w:cs="Nunito"/>
        </w:rPr>
        <w:t>[  ]  Placement definition and sample limitations are stated.</w:t>
      </w:r>
    </w:p>
    <w:p>
      <w:pPr>
        <w:pStyle w:val="ListBullet"/>
        <w:ind w:left="360"/>
      </w:pPr>
      <w:r>
        <w:rPr>
          <w:rFonts w:ascii="Nunito" w:hAnsi="Nunito" w:eastAsia="Nunito" w:cs="Nunito"/>
        </w:rPr>
        <w:t>[  ]  Caveats are honest; uncomfortable findings are not hidden.</w:t>
      </w:r>
    </w:p>
    <w:p>
      <w:pPr>
        <w:pStyle w:val="ListBullet"/>
        <w:ind w:left="360"/>
      </w:pPr>
      <w:r>
        <w:rPr>
          <w:rFonts w:ascii="Nunito" w:hAnsi="Nunito" w:eastAsia="Nunito" w:cs="Nunito"/>
        </w:rPr>
        <w:t>[  ]  Unanswered or delayed requests are logged with reasons.</w:t>
      </w:r>
    </w:p>
    <w:p>
      <w:pPr>
        <w:pStyle w:val="ListBullet"/>
        <w:ind w:left="360"/>
      </w:pPr>
      <w:r>
        <w:rPr>
          <w:rFonts w:ascii="Nunito" w:hAnsi="Nunito" w:eastAsia="Nunito" w:cs="Nunito"/>
        </w:rPr>
        <w:t>[  ]  No causation is claimed from correlation.</w:t>
      </w:r>
    </w:p>
    <w:p>
      <w:pPr>
        <w:pStyle w:val="ListBullet"/>
        <w:ind w:left="360"/>
      </w:pPr>
      <w:r>
        <w:rPr>
          <w:rFonts w:ascii="Nunito" w:hAnsi="Nunito" w:eastAsia="Nunito" w:cs="Nunito"/>
        </w:rPr>
        <w:t>[  ]  Charts attached to memos are curated, not a pivot dump.</w:t>
      </w:r>
    </w:p>
    <w:p>
      <w:pPr>
        <w:spacing w:after="40"/>
      </w:pPr>
      <w:r>
        <w:rPr>
          <w:rFonts w:ascii="Nunito" w:hAnsi="Nunito" w:eastAsia="Nunito" w:cs="Nunito"/>
          <w:b/>
          <w:i w:val="0"/>
          <w:color w:val="222222"/>
          <w:sz w:val="20"/>
        </w:rPr>
        <w:t>[  ]  Confirmed by Workflow A reviewer</w:t>
      </w:r>
    </w:p>
    <w:p>
      <w:pPr>
        <w:spacing w:after="40"/>
      </w:pPr>
      <w:r>
        <w:rPr>
          <w:rFonts w:ascii="Nunito" w:hAnsi="Nunito" w:eastAsia="Nunito" w:cs="Nunito"/>
          <w:b w:val="0"/>
          <w:i/>
          <w:color w:val="666666"/>
          <w:sz w:val="18"/>
        </w:rPr>
        <w:t>Tick [x] and type full name + date (online confirmation)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0"/>
        </w:rPr>
        <w:t>Name: ____________________    Date: __________    Channel (Drive comment / sheet tick): __________</w:t>
      </w:r>
    </w:p>
    <w:p>
      <w:pPr>
        <w:pStyle w:val="Heading2"/>
      </w:pPr>
      <w:r>
        <w:rPr>
          <w:rFonts w:ascii="Lexend" w:hAnsi="Lexend" w:eastAsia="Lexend" w:cs="Lexend"/>
          <w:color w:val="1B2A4A"/>
        </w:rPr>
        <w:t>Section B - Workflow B reviews Workflow A</w:t>
      </w:r>
    </w:p>
    <w:p>
      <w:pPr>
        <w:pStyle w:val="ListBullet"/>
        <w:ind w:left="360"/>
      </w:pPr>
      <w:r>
        <w:rPr>
          <w:rFonts w:ascii="Nunito" w:hAnsi="Nunito" w:eastAsia="Nunito" w:cs="Nunito"/>
        </w:rPr>
        <w:t>[  ]  Every quantitative claim cites a Request ID or Findings Memo ID.</w:t>
      </w:r>
    </w:p>
    <w:p>
      <w:pPr>
        <w:pStyle w:val="ListBullet"/>
        <w:ind w:left="360"/>
      </w:pPr>
      <w:r>
        <w:rPr>
          <w:rFonts w:ascii="Nunito" w:hAnsi="Nunito" w:eastAsia="Nunito" w:cs="Nunito"/>
        </w:rPr>
        <w:t>[  ]  Document cites include section/heading (not code alone).</w:t>
      </w:r>
    </w:p>
    <w:p>
      <w:pPr>
        <w:pStyle w:val="ListBullet"/>
        <w:ind w:left="360"/>
      </w:pPr>
      <w:r>
        <w:rPr>
          <w:rFonts w:ascii="Nunito" w:hAnsi="Nunito" w:eastAsia="Nunito" w:cs="Nunito"/>
        </w:rPr>
        <w:t>[  ]  At least three Analysis Request PDFs are in A_B_Exchange/ with matching Findings Memos.</w:t>
      </w:r>
    </w:p>
    <w:p>
      <w:pPr>
        <w:pStyle w:val="ListBullet"/>
        <w:ind w:left="360"/>
      </w:pPr>
      <w:r>
        <w:rPr>
          <w:rFonts w:ascii="Nunito" w:hAnsi="Nunito" w:eastAsia="Nunito" w:cs="Nunito"/>
        </w:rPr>
        <w:t>[  ]  Strategic options are financially feasible against D-12 and D-03.</w:t>
      </w:r>
    </w:p>
    <w:p>
      <w:pPr>
        <w:pStyle w:val="ListBullet"/>
        <w:ind w:left="360"/>
      </w:pPr>
      <w:r>
        <w:rPr>
          <w:rFonts w:ascii="Nunito" w:hAnsi="Nunito" w:eastAsia="Nunito" w:cs="Nunito"/>
        </w:rPr>
        <w:t>[  ]  Options changed after at least one B challenge (see revision log).</w:t>
      </w:r>
    </w:p>
    <w:p>
      <w:pPr>
        <w:pStyle w:val="ListBullet"/>
        <w:ind w:left="360"/>
      </w:pPr>
      <w:r>
        <w:rPr>
          <w:rFonts w:ascii="Nunito" w:hAnsi="Nunito" w:eastAsia="Nunito" w:cs="Nunito"/>
        </w:rPr>
        <w:t>[  ]  Journey-map pain points link to recommendations and/or Findings cites.</w:t>
      </w:r>
    </w:p>
    <w:p>
      <w:pPr>
        <w:pStyle w:val="ListBullet"/>
        <w:ind w:left="360"/>
      </w:pPr>
      <w:r>
        <w:rPr>
          <w:rFonts w:ascii="Nunito" w:hAnsi="Nunito" w:eastAsia="Nunito" w:cs="Nunito"/>
        </w:rPr>
        <w:t>[  ]  Trade-off reflection names who gains and who loses.</w:t>
      </w:r>
    </w:p>
    <w:p>
      <w:pPr>
        <w:pStyle w:val="ListBullet"/>
        <w:ind w:left="360"/>
      </w:pPr>
      <w:r>
        <w:rPr>
          <w:rFonts w:ascii="Nunito" w:hAnsi="Nunito" w:eastAsia="Nunito" w:cs="Nunito"/>
        </w:rPr>
        <w:t>[  ]  Implementation roadmap has a realistic timeline and cost.</w:t>
      </w:r>
    </w:p>
    <w:p>
      <w:pPr>
        <w:spacing w:after="40"/>
      </w:pPr>
      <w:r>
        <w:rPr>
          <w:rFonts w:ascii="Nunito" w:hAnsi="Nunito" w:eastAsia="Nunito" w:cs="Nunito"/>
          <w:b/>
          <w:i w:val="0"/>
          <w:color w:val="222222"/>
          <w:sz w:val="20"/>
        </w:rPr>
        <w:t>[  ]  Confirmed by Workflow B reviewer</w:t>
      </w:r>
    </w:p>
    <w:p>
      <w:pPr>
        <w:spacing w:after="40"/>
      </w:pPr>
      <w:r>
        <w:rPr>
          <w:rFonts w:ascii="Nunito" w:hAnsi="Nunito" w:eastAsia="Nunito" w:cs="Nunito"/>
          <w:b w:val="0"/>
          <w:i/>
          <w:color w:val="666666"/>
          <w:sz w:val="18"/>
        </w:rPr>
        <w:t>Tick [x] and type full name + date (online confirmation)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0"/>
        </w:rPr>
        <w:t>Name: ____________________    Date: __________    Channel (Drive comment / sheet tick): __________</w:t>
      </w:r>
    </w:p>
    <w:p>
      <w:pPr>
        <w:pStyle w:val="Heading2"/>
      </w:pPr>
      <w:r>
        <w:rPr>
          <w:rFonts w:ascii="Lexend" w:hAnsi="Lexend" w:eastAsia="Lexend" w:cs="Lexend"/>
          <w:color w:val="1B2A4A"/>
        </w:rPr>
        <w:t>Section C - Joint final confirmation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A_B_Exchange/ and Request Log show minimum three completed R/FM pairs: [  ] Yes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Drive link to A_B_Exchange/: ________________________________</w:t>
      </w:r>
    </w:p>
    <w:p>
      <w:pPr>
        <w:spacing w:after="40"/>
      </w:pPr>
      <w:r>
        <w:rPr>
          <w:rFonts w:ascii="Nunito" w:hAnsi="Nunito" w:eastAsia="Nunito" w:cs="Nunito"/>
          <w:b/>
          <w:i w:val="0"/>
          <w:color w:val="222222"/>
          <w:sz w:val="20"/>
        </w:rPr>
        <w:t>[  ]  Confirmed by Engagement Lead</w:t>
      </w:r>
    </w:p>
    <w:p>
      <w:pPr>
        <w:spacing w:after="40"/>
      </w:pPr>
      <w:r>
        <w:rPr>
          <w:rFonts w:ascii="Nunito" w:hAnsi="Nunito" w:eastAsia="Nunito" w:cs="Nunito"/>
          <w:b w:val="0"/>
          <w:i/>
          <w:color w:val="666666"/>
          <w:sz w:val="18"/>
        </w:rPr>
        <w:t>Tick [x] and type full name + date (online confirmation)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0"/>
        </w:rPr>
        <w:t>Name: ____________________    Date: __________    Channel (Drive comment / sheet tick): __________</w:t>
      </w:r>
    </w:p>
    <w:sectPr w:rsidR="00FC693F" w:rsidRPr="0006063C" w:rsidSect="00034616"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Nunito" w:hAnsi="Nunito" w:eastAsia="Nunito" w:cs="Nunito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