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跨域 P D 分离推理中的</w:t>
      </w:r>
    </w:p>
    <w:p>
      <w:pPr>
        <w:pStyle w:val="Title"/>
        <w:jc w:val="center"/>
      </w:pPr>
      <w:r>
        <w:t>存算协同结构重构调度 具体设计与实验规划</w:t>
      </w:r>
    </w:p>
    <w:p>
      <w:pPr>
        <w:jc w:val="center"/>
      </w:pPr>
      <w:r>
        <w:rPr>
          <w:i/>
        </w:rPr>
        <w:t>面向 Prefix 状态 异构 Decode 与跨域 P D 关系的轻量闭环方案</w:t>
      </w:r>
    </w:p>
    <w:p>
      <w:pPr>
        <w:pStyle w:val="Heading1"/>
      </w:pPr>
      <w:r>
        <w:t>一 结论与建议</w:t>
      </w:r>
    </w:p>
    <w:p>
      <w:r>
        <w:t>建议将课题收敛为“Cache aware Structural Gain Scheduling”。不把问题做成全局缓存放置或复杂强化学习，而是围绕一个可验证的核心闭环：先在当前资源结构下求最优 P-D 流量分配；当该分配仍暴露结构性失配时，再比较少数 P 实例增删候选带来的净收益；Prefix Cache 只通过改变 P 的有效供给和新实例的预热成本参与决策。这样既能明确体现存算协同，也能复用已有 P/D 分离、KV 传输和运行时路由能力。</w:t>
      </w:r>
    </w:p>
    <w:p>
      <w:r>
        <w:t>一句话问题：在跨域异构 P/D 分离推理中，如何利用 Prefix 状态校正 Prefill 的有效计算能力，并以“改变 P-D 关系矩阵后能否带来净收益”为依据，选择最小的 P 结构重构动作，从而降低 KV 传输与排队成本并提升 SLO goodput。</w:t>
      </w:r>
    </w:p>
    <w:p>
      <w:pPr>
        <w:pStyle w:val="Heading1"/>
      </w:pPr>
      <w:r>
        <w:t>二 基于现有工作的定位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175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现有工作类型</w:t>
            </w:r>
          </w:p>
        </w:tc>
        <w:tc>
          <w:tcPr>
            <w:tcW w:type="dxa" w:w="1871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可直接复用</w:t>
            </w:r>
          </w:p>
        </w:tc>
        <w:tc>
          <w:tcPr>
            <w:tcW w:type="dxa" w:w="2551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尚未充分解决</w:t>
            </w:r>
          </w:p>
        </w:tc>
        <w:tc>
          <w:tcPr>
            <w:tcW w:type="dxa" w:w="374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本方案的切入点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P/D 弹性扩缩容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P/D 池、负载监测、按需求扩缩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实例通常被视为同质算力，按利用率或需求缺口扩缩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以 P-D 矩阵结构收益而非利用率单独触发 P 重构</w:t>
            </w:r>
          </w:p>
        </w:tc>
      </w:tr>
      <w:tr>
        <w:tc>
          <w:tcPr>
            <w:tcW w:type="dxa" w:w="1757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网络感知 P-D 路由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KV transfer、网络与队列感知 D 选择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多数只在固定资源池内选择 D</w:t>
            </w:r>
          </w:p>
        </w:tc>
        <w:tc>
          <w:tcPr>
            <w:tcW w:type="dxa" w:w="3742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把 P 的新增、删除或位置变化视为改变可选 P-D 边的结构操作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异构资源调度</w:t>
            </w:r>
          </w:p>
        </w:tc>
        <w:tc>
          <w:tcPr>
            <w:tcW w:type="dxa" w:w="187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GPU profiling、容量标定、放置候选</w:t>
            </w:r>
          </w:p>
        </w:tc>
        <w:tc>
          <w:tcPr>
            <w:tcW w:type="dxa" w:w="255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 的真实供给受缓存状态影响，不能只由 GPU 型号决定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用 cache-aware effective capacity 描述 P 行能力</w:t>
            </w:r>
          </w:p>
        </w:tc>
      </w:tr>
      <w:tr>
        <w:tc>
          <w:tcPr>
            <w:tcW w:type="dxa" w:w="1757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Prefix Cache/复制</w:t>
            </w:r>
          </w:p>
        </w:tc>
        <w:tc>
          <w:tcPr>
            <w:tcW w:type="dxa" w:w="187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cache hit、热点统计、按需预热</w:t>
            </w:r>
          </w:p>
        </w:tc>
        <w:tc>
          <w:tcPr>
            <w:tcW w:type="dxa" w:w="255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缓存机制往往与扩缩容控制割裂</w:t>
            </w:r>
          </w:p>
        </w:tc>
        <w:tc>
          <w:tcPr>
            <w:tcW w:type="dxa" w:w="3742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只在“扩某个 P 是否值得”时评估 cold/warm 两种新行</w:t>
            </w:r>
          </w:p>
        </w:tc>
      </w:tr>
    </w:tbl>
    <w:p>
      <w:pPr>
        <w:spacing w:after="20"/>
      </w:pPr>
    </w:p>
    <w:p>
      <w:r>
        <w:t>与已有文档的关系：已有“P-D 关系矩阵驱动结构重构”已经给出最小成本流与 Structural Gain 主线；已有“跨域异构 P/D 分离”已覆盖缓存价值、异构 D、两时间尺度控制和较宽的联合优化。本设计选择前者作为主问题，将后者中最能体现存算协同、且工程上最轻的 cache-aware capacity 与 warm/cold 机制嵌入其中。</w:t>
      </w:r>
    </w:p>
    <w:p>
      <w:pPr>
        <w:pStyle w:val="Heading1"/>
      </w:pPr>
      <w:r>
        <w:t>三 研究边界与创新点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243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保留</w:t>
            </w:r>
          </w:p>
        </w:tc>
        <w:tc>
          <w:tcPr>
            <w:tcW w:type="dxa" w:w="328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明确不做</w:t>
            </w:r>
          </w:p>
        </w:tc>
        <w:tc>
          <w:tcPr>
            <w:tcW w:type="dxa" w:w="4195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固定 D pool；P 侧每次仅允许 +1、-1 或 relocation</w:t>
            </w:r>
          </w:p>
        </w:tc>
        <w:tc>
          <w:tcPr>
            <w:tcW w:type="dxa" w:w="328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D 弹性、active Decode KV 迁移、权重迁移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避免离散决策爆炸，确保 P 行结构重构的因果可辨</w:t>
            </w:r>
          </w:p>
        </w:tc>
      </w:tr>
      <w:tr>
        <w:tc>
          <w:tcPr>
            <w:tcW w:type="dxa" w:w="2438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Prefix 状态统计、选择性热前缀预热</w:t>
            </w:r>
          </w:p>
        </w:tc>
        <w:tc>
          <w:tcPr>
            <w:tcW w:type="dxa" w:w="3288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全局 Prefix placement/eviction 最优化</w:t>
            </w:r>
          </w:p>
        </w:tc>
        <w:tc>
          <w:tcPr>
            <w:tcW w:type="dxa" w:w="4195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存储只服务于算力形成和重构价值判断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min-cost flow/LP 作为内层 solver</w:t>
            </w:r>
          </w:p>
        </w:tc>
        <w:tc>
          <w:tcPr>
            <w:tcW w:type="dxa" w:w="328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复杂预测、RL、端到端 learned cost model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状态可由 EWMA 与 profiling 获得，方法可解释且易实现</w:t>
            </w:r>
          </w:p>
        </w:tc>
      </w:tr>
      <w:tr>
        <w:tc>
          <w:tcPr>
            <w:tcW w:type="dxa" w:w="2438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慢层重构 + 快层路由</w:t>
            </w:r>
          </w:p>
        </w:tc>
        <w:tc>
          <w:tcPr>
            <w:tcW w:type="dxa" w:w="3288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新 request-level router</w:t>
            </w:r>
          </w:p>
        </w:tc>
        <w:tc>
          <w:tcPr>
            <w:tcW w:type="dxa" w:w="4195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复用 serving runtime 的网络/队列感知选择</w:t>
            </w:r>
          </w:p>
        </w:tc>
      </w:tr>
    </w:tbl>
    <w:p>
      <w:pPr>
        <w:spacing w:after="20"/>
      </w:pPr>
    </w:p>
    <w:p>
      <w:r>
        <w:t>创新点 1：结构收益而非容量阈值。P 扩缩容被形式化为 P-D 关系矩阵的一行增删；动作价值由重新求解后的全局分配改进减去重构成本决定。它可发现“总 P 容量充足但拓扑结构错误”的场景。</w:t>
      </w:r>
    </w:p>
    <w:p>
      <w:r>
        <w:t>创新点 2：状态相关的 P 行容量。P 的有效能力由 GPU 与缓存命中共同决定，而非实例 ready 即获得满额供给；这把 Prefix 存储状态直接接入计算调度。</w:t>
      </w:r>
    </w:p>
    <w:p>
      <w:r>
        <w:t>创新点 3：cold/warm 的同位候选对照。对同一扩容位置，分别评估冷启动与选择性预热，只有预热额外收益能覆盖复制成本时才触发。存储决策因此不是附加模块，而会改变动作排序。</w:t>
      </w:r>
    </w:p>
    <w:p>
      <w:pPr>
        <w:pStyle w:val="Heading1"/>
      </w:pPr>
      <w:r>
        <w:t>四 系统模型与目标</w:t>
      </w:r>
    </w:p>
    <w:p>
      <w:r>
        <w:t>设 P={P1,...,Pm} 为 Prefill 实例集合，D={D1,...,Dn} 为固定 Decode 实例集合。每个 P_i 具有有效容量 μP_i，D_j 具有 profile 得到的解码容量 μD_j。A=[a_ij] 是可行矩阵；C=[c_ij] 是 pair cost；F=[f_ij] 是单位时间从 P_i 流向 D_j 的流量矩阵。</w:t>
      </w:r>
    </w:p>
    <w:p>
      <w:r>
        <w:t>Pair cost 采用可观测量：c_ij = RTT_ij + KVSize_i/BW_ij + Queue_j + DecodeTime_j。不同量纲可先归一化后加权，权重通过一个小验证集标定；第一版不学习该模型。</w:t>
      </w:r>
    </w:p>
    <w:p>
      <w:r>
        <w:t>给定资源结构 S，内层分配为：J*(S)=min_F Σ_iΣ_j f_ij c_ij；约束为 Σ_j f_ij≤μP_i，Σ_i f_ij≤μD_j，Σ_iΣ_j f_ij≥λ，f_ij=0 当 a_ij=0。该问题是容量约束最小成本流，可直接使用成熟求解器。</w:t>
      </w:r>
    </w:p>
    <w:p>
      <w:r>
        <w:t>缓存感知容量采用轻量估计：μP_i = ProfileP(GPU_i, effective_tokens_i)，其中 effective_tokens_i = ISL - HitPrefixLen_i。ProfileP 由离线 profile 表插值得到，在线仅用滑窗/EWMA 统计命中前缀长度与输入长度。</w:t>
      </w:r>
    </w:p>
    <w:p>
      <w:pPr>
        <w:pStyle w:val="Heading1"/>
      </w:pPr>
      <w:r>
        <w:t>五 具体调度算法</w:t>
      </w:r>
    </w:p>
    <w:p>
      <w:r>
        <w:t>1. 观测。控制器每个慢周期收集 λ、ISL/OSL、P 侧 hit prefix length、P/D 队列、GPU profile、RTT/BW 与实例状态。</w:t>
      </w:r>
    </w:p>
    <w:p>
      <w:r>
        <w:t>2. 当前结构最优。构造 A、C、μP、μD，解出 F*(S) 和 J*(S)。运行时按 F 的 affinity 比例给请求选择候选 D，并在候选中用实时 queue/cost 打破平局。</w:t>
      </w:r>
    </w:p>
    <w:p>
      <w:r>
        <w:t>3. 轻量诊断。计算 assignment regret R=Σ_i λ_i(cbar_i-cbest_i)、高成本边占比 E_exp 与 D pressure ρ_j。它们只用于判断是否进入候选评估，不参与复杂的加权总目标。</w:t>
      </w:r>
    </w:p>
    <w:p>
      <w:r>
        <w:t>4. 反事实候选。若 SLO 恶化或诊断触发，仅构造邻域 N(S)：各可用域的 +1 P(cold)、+1 P(warm)，以及满足最小存活时间的 -1 P_i。warm 行仅复制 Top-K 热前缀，容量更高但有复制与等待成本。</w:t>
      </w:r>
    </w:p>
    <w:p>
      <w:r>
        <w:t>5. 选择动作。对每个 a∈N(S)，构造 S_a 并重求 J*(S_a)，计算 G(a)=J*(S)-J*(S_a)-C_reconfig(a)。选择 G 最大者；仅当 G(a)&gt;θ、SLO 约束可行并满足 dwell time 时执行，否则维持结构。</w:t>
      </w:r>
    </w:p>
    <w:p>
      <w:r>
        <w:t>6. 执行。扩容先拉起 P；warm 候选并行复制 Top-K；缩容停止接新 Prefill，等待本地任务完成后释放。动作完成后更新 affinity。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94"/>
        <w:gridCol w:w="2394"/>
        <w:gridCol w:w="2394"/>
        <w:gridCol w:w="2394"/>
      </w:tblGrid>
      <w:tr>
        <w:tc>
          <w:tcPr>
            <w:tcW w:type="dxa" w:w="1814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候选</w:t>
            </w:r>
          </w:p>
        </w:tc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P 行变化</w:t>
            </w:r>
          </w:p>
        </w:tc>
        <w:tc>
          <w:tcPr>
            <w:tcW w:type="dxa" w:w="3005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容量与成本</w:t>
            </w:r>
          </w:p>
        </w:tc>
        <w:tc>
          <w:tcPr>
            <w:tcW w:type="dxa" w:w="340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适用判断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+P@domain k cold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新增一行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μcold；启动成本 + 后续更多重算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热点短暂、复制带宽差或预期收益不够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+P@domain k warm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新增一行</w:t>
            </w:r>
          </w:p>
        </w:tc>
        <w:tc>
          <w:tcPr>
            <w:tcW w:type="dxa" w:w="3005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μwarm&gt;μcold；启动 + Top-K 复制/等待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热点稳定且 Gwarm 超过 Gcold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-P_i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删除一行</w:t>
            </w:r>
          </w:p>
        </w:tc>
        <w:tc>
          <w:tcPr>
            <w:tcW w:type="dxa" w:w="300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释放资源；cache loss/排空成本</w:t>
            </w:r>
          </w:p>
        </w:tc>
        <w:tc>
          <w:tcPr>
            <w:tcW w:type="dxa" w:w="340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删除后 J 上升最小且资源节约足够</w:t>
            </w:r>
          </w:p>
        </w:tc>
      </w:tr>
      <w:tr>
        <w:tc>
          <w:tcPr>
            <w:tcW w:type="dxa" w:w="1814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relocate P</w:t>
            </w:r>
          </w:p>
        </w:tc>
        <w:tc>
          <w:tcPr>
            <w:tcW w:type="dxa" w:w="170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删旧行加新行</w:t>
            </w:r>
          </w:p>
        </w:tc>
        <w:tc>
          <w:tcPr>
            <w:tcW w:type="dxa" w:w="3005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改变 pair-cost vector</w:t>
            </w:r>
          </w:p>
        </w:tc>
        <w:tc>
          <w:tcPr>
            <w:tcW w:type="dxa" w:w="3402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用于显示位置/网络而非数量造成的结构差异</w:t>
            </w:r>
          </w:p>
        </w:tc>
      </w:tr>
    </w:tbl>
    <w:p>
      <w:pPr>
        <w:spacing w:after="20"/>
      </w:pPr>
    </w:p>
    <w:p>
      <w:pPr>
        <w:pStyle w:val="Heading1"/>
      </w:pPr>
      <w:r>
        <w:t>六 存算协同如何被可验证地体现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871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链路</w:t>
            </w:r>
          </w:p>
        </w:tc>
        <w:tc>
          <w:tcPr>
            <w:tcW w:type="dxa" w:w="3969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机制</w:t>
            </w:r>
          </w:p>
        </w:tc>
        <w:tc>
          <w:tcPr>
            <w:tcW w:type="dxa" w:w="408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可观测证据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Storage to Compute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Prefix hit 改变 effective tokens，进而改变 μP_i</w:t>
            </w:r>
          </w:p>
        </w:tc>
        <w:tc>
          <w:tcPr>
            <w:tcW w:type="dxa" w:w="40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同 GPU、不同 cache state 的 μP；Effective Capacity Ramp-up Time</w:t>
            </w:r>
          </w:p>
        </w:tc>
      </w:tr>
      <w:tr>
        <w:tc>
          <w:tcPr>
            <w:tcW w:type="dxa" w:w="187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Storage to Structure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warm/cold 改变新增 P 行容量与重构成本，因此改变 G(a) 排序</w:t>
            </w:r>
          </w:p>
        </w:tc>
        <w:tc>
          <w:tcPr>
            <w:tcW w:type="dxa" w:w="4082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记录 Gcold、Gwarm、选择结果与复制流量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Compute to Storage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只有选中 warm 扩容时才复制 Top-K 高价值 prefix</w:t>
            </w:r>
          </w:p>
        </w:tc>
        <w:tc>
          <w:tcPr>
            <w:tcW w:type="dxa" w:w="408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复制集合、Saved Prefill GPU time、recomputed prefix tokens</w:t>
            </w:r>
          </w:p>
        </w:tc>
      </w:tr>
    </w:tbl>
    <w:p>
      <w:pPr>
        <w:spacing w:after="20"/>
      </w:pPr>
    </w:p>
    <w:p>
      <w:r>
        <w:t>前缀价值可用 V_k = predicted_reuse_k × saved_prefill_time_k - copy_time_k 表示；工程上选 V_k&gt;0 的 Top-K 即可。它不是完整 cache placement 优化，而是“给定一次 warm 动作，哪些状态值得随新 P 行形成”的小决策。</w:t>
      </w:r>
    </w:p>
    <w:p>
      <w:pPr>
        <w:pStyle w:val="Heading1"/>
      </w:pPr>
      <w:r>
        <w:t>七 实现路线与整体流程</w:t>
      </w:r>
    </w:p>
    <w:p>
      <w:r>
        <w:t>建议分为“真实小规模闭环 + trace-driven 扩展”两阶段。真实系统负责证明 P/D、KV transfer、缓存与控制器能真实协同；仿真器负责系统性扫网络、异构度和工作负载。两者共享同一 profile 表、成本模型、控制算法和 trace 格式。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417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969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442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产出/验收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M1 基线与测量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选定现有 P/D serving runtime；记录 KV 传输、cache hit、P/D queue；完成 GPU/ISL/OSL profile</w:t>
            </w:r>
          </w:p>
        </w:tc>
        <w:tc>
          <w:tcPr>
            <w:tcW w:type="dxa" w:w="442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profile 表；可复现 static matching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M2 内层分配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实现状态采集、A/C 构造与 min-cost flow；将结果下发为 affinity</w:t>
            </w:r>
          </w:p>
        </w:tc>
        <w:tc>
          <w:tcPr>
            <w:tcW w:type="dxa" w:w="4422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固定结构下优于 nearest-D/简单负载均衡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M3 结构重构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实现诊断、±1 P counterfactual、G 阈值、dwell time</w:t>
            </w:r>
          </w:p>
        </w:tc>
        <w:tc>
          <w:tcPr>
            <w:tcW w:type="dxa" w:w="442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结构瓶颈场景中少量重构能降低 J 与 P95 TTFT</w:t>
            </w:r>
          </w:p>
        </w:tc>
      </w:tr>
      <w:tr>
        <w:tc>
          <w:tcPr>
            <w:tcW w:type="dxa" w:w="1417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M4 存算协同</w:t>
            </w:r>
          </w:p>
        </w:tc>
        <w:tc>
          <w:tcPr>
            <w:tcW w:type="dxa" w:w="3969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实现 cache-aware μP、Top-K warm 与 cold/warm 评估</w:t>
            </w:r>
          </w:p>
        </w:tc>
        <w:tc>
          <w:tcPr>
            <w:tcW w:type="dxa" w:w="4422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warm 是否执行可由净收益解释，缩短 ramp-up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M5 完整评估</w:t>
            </w:r>
          </w:p>
        </w:tc>
        <w:tc>
          <w:tcPr>
            <w:tcW w:type="dxa" w:w="396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接入 trace、故障/带宽变化、基线与消融</w:t>
            </w:r>
          </w:p>
        </w:tc>
        <w:tc>
          <w:tcPr>
            <w:tcW w:type="dxa" w:w="442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完整曲线、统计显著性和开销报告</w:t>
            </w:r>
          </w:p>
        </w:tc>
      </w:tr>
    </w:tbl>
    <w:p>
      <w:pPr>
        <w:spacing w:after="20"/>
      </w:pPr>
    </w:p>
    <w:p>
      <w:pPr>
        <w:pStyle w:val="Heading1"/>
      </w:pPr>
      <w:r>
        <w:t>八 实验设计</w:t>
      </w:r>
    </w:p>
    <w:p>
      <w:pPr>
        <w:pStyle w:val="Heading2"/>
      </w:pPr>
      <w:r>
        <w:t>8.1 环境与工作负载</w:t>
      </w:r>
    </w:p>
    <w:p>
      <w:r>
        <w:t>第一版仅需两域 Edge 与 Cloud：域内高带宽，域间可控 RTT/BW。D 固定且至少有两档 decode throughput（可由真实异构 GPU 或限速/profile 仿真形成）；每个域预留可启停 P 池。选 7B/14B 级模型，使用支持 P/D 分离与 Prefix Cache 的开源 serving stack。若真实资源不够，保留 2 域原型，使用 trace-driven 模拟器扩展至 3 域和更多实例。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871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Case</w:t>
            </w:r>
          </w:p>
        </w:tc>
        <w:tc>
          <w:tcPr>
            <w:tcW w:type="dxa" w:w="374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构造</w:t>
            </w:r>
          </w:p>
        </w:tc>
        <w:tc>
          <w:tcPr>
            <w:tcW w:type="dxa" w:w="4195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要验证的结论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 固定结构配对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固定 P/D，扫描 WAN、KV size、D capacity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显式 pair cost + 列容量优于 nearest/fastest-D</w:t>
            </w:r>
          </w:p>
        </w:tc>
      </w:tr>
      <w:tr>
        <w:tc>
          <w:tcPr>
            <w:tcW w:type="dxa" w:w="187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B 容量足够但结构失配</w:t>
            </w:r>
          </w:p>
        </w:tc>
        <w:tc>
          <w:tcPr>
            <w:tcW w:type="dxa" w:w="3742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总 μP≥λ，多个 P 仍被迫走高成本 D 边</w:t>
            </w:r>
          </w:p>
        </w:tc>
        <w:tc>
          <w:tcPr>
            <w:tcW w:type="dxa" w:w="4195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容量未超载并不意味着不需要结构性扩容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 容量驱动对结构驱动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阶梯 λ 与 topology mismatch 混合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Ours 仅在 G 足够大时重构，GPU-hours 与 SLO 更优</w:t>
            </w:r>
          </w:p>
        </w:tc>
      </w:tr>
      <w:tr>
        <w:tc>
          <w:tcPr>
            <w:tcW w:type="dxa" w:w="187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D warm 对 cold</w:t>
            </w:r>
          </w:p>
        </w:tc>
        <w:tc>
          <w:tcPr>
            <w:tcW w:type="dxa" w:w="3742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固定扩容位置，扫描 prefix reuse 与复制带宽</w:t>
            </w:r>
          </w:p>
        </w:tc>
        <w:tc>
          <w:tcPr>
            <w:tcW w:type="dxa" w:w="4195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缓存状态会改变候选排序与 ramp-up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E scale-in</w:t>
            </w:r>
          </w:p>
        </w:tc>
        <w:tc>
          <w:tcPr>
            <w:tcW w:type="dxa" w:w="374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负载下降且 P 行缓存价值/拓扑不同</w:t>
            </w:r>
          </w:p>
        </w:tc>
        <w:tc>
          <w:tcPr>
            <w:tcW w:type="dxa" w:w="419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删除结构价值最低行优于按利用率删除</w:t>
            </w:r>
          </w:p>
        </w:tc>
      </w:tr>
      <w:tr>
        <w:tc>
          <w:tcPr>
            <w:tcW w:type="dxa" w:w="187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F 热点漂移</w:t>
            </w:r>
          </w:p>
        </w:tc>
        <w:tc>
          <w:tcPr>
            <w:tcW w:type="dxa" w:w="3742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λ 稳定但热门 prefix 切换</w:t>
            </w:r>
          </w:p>
        </w:tc>
        <w:tc>
          <w:tcPr>
            <w:tcW w:type="dxa" w:w="4195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仅看负载的计算调度会误判有效容量</w:t>
            </w:r>
          </w:p>
        </w:tc>
      </w:tr>
    </w:tbl>
    <w:p>
      <w:pPr>
        <w:spacing w:after="20"/>
      </w:pPr>
    </w:p>
    <w:p>
      <w:pPr>
        <w:pStyle w:val="Heading2"/>
      </w:pPr>
      <w:r>
        <w:t>8.2 对照与消融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871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3061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共同条件</w:t>
            </w:r>
          </w:p>
        </w:tc>
        <w:tc>
          <w:tcPr>
            <w:tcW w:type="dxa" w:w="4876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差异与目的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B0 Static + optimal matching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同一 cost matrix、min-cost flow、cache runtime</w:t>
            </w:r>
          </w:p>
        </w:tc>
        <w:tc>
          <w:tcPr>
            <w:tcW w:type="dxa" w:w="487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不改变 P 结构，给出固定结构上限</w:t>
            </w:r>
          </w:p>
        </w:tc>
      </w:tr>
      <w:tr>
        <w:tc>
          <w:tcPr>
            <w:tcW w:type="dxa" w:w="187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B1 Load scaling + optimal matching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同上</w:t>
            </w:r>
          </w:p>
        </w:tc>
        <w:tc>
          <w:tcPr>
            <w:tcW w:type="dxa" w:w="4876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按 utilization/demand gap ±P，检验结构收益触发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B2 Pair-cost heuristic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同上</w:t>
            </w:r>
          </w:p>
        </w:tc>
        <w:tc>
          <w:tcPr>
            <w:tcW w:type="dxa" w:w="487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在高成本流量附近扩 P，但不做反事实重求</w:t>
            </w:r>
          </w:p>
        </w:tc>
      </w:tr>
      <w:tr>
        <w:tc>
          <w:tcPr>
            <w:tcW w:type="dxa" w:w="187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B3 Structure-aware NoCache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同上</w:t>
            </w:r>
          </w:p>
        </w:tc>
        <w:tc>
          <w:tcPr>
            <w:tcW w:type="dxa" w:w="4876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使用 G，但 μP 仅由 GPU 决定且无 warm/cold，隔离存储贡献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Ours</w:t>
            </w:r>
          </w:p>
        </w:tc>
        <w:tc>
          <w:tcPr>
            <w:tcW w:type="dxa" w:w="306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同上</w:t>
            </w:r>
          </w:p>
        </w:tc>
        <w:tc>
          <w:tcPr>
            <w:tcW w:type="dxa" w:w="4876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 + cache-aware μP + warm/cold</w:t>
            </w:r>
          </w:p>
        </w:tc>
      </w:tr>
      <w:tr>
        <w:tc>
          <w:tcPr>
            <w:tcW w:type="dxa" w:w="187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消融 NoWarm / NoHysteresis</w:t>
            </w:r>
          </w:p>
        </w:tc>
        <w:tc>
          <w:tcPr>
            <w:tcW w:type="dxa" w:w="306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同上</w:t>
            </w:r>
          </w:p>
        </w:tc>
        <w:tc>
          <w:tcPr>
            <w:tcW w:type="dxa" w:w="4876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验证预热收益与抗抖动机制</w:t>
            </w:r>
          </w:p>
        </w:tc>
      </w:tr>
    </w:tbl>
    <w:p>
      <w:pPr>
        <w:spacing w:after="20"/>
      </w:pPr>
    </w:p>
    <w:p>
      <w:r>
        <w:t>公平性原则：所有方法都启用相同的 Prefix Cache runtime 与相同 P/D matching solver；差异只能来自“是否把 cache state 用于调度决策”。不能用简单的 Cache ON vs OFF 证明存算协同。</w:t>
      </w:r>
    </w:p>
    <w:p>
      <w:pPr>
        <w:pStyle w:val="Heading2"/>
      </w:pPr>
      <w:r>
        <w:t>8.3 指标与报告方式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1701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4309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核心指标</w:t>
            </w:r>
          </w:p>
        </w:tc>
        <w:tc>
          <w:tcPr>
            <w:tcW w:type="dxa" w:w="3798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对应主张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服务性能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P50/P95/P99 TTFT、TPOT、SLO attainment、goodput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端到端价值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分配质量</w:t>
            </w:r>
          </w:p>
        </w:tc>
        <w:tc>
          <w:tcPr>
            <w:tcW w:type="dxa" w:w="4309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J*(S)、平均 pair cost、regret、高成本边占比、D load balance</w:t>
            </w:r>
          </w:p>
        </w:tc>
        <w:tc>
          <w:tcPr>
            <w:tcW w:type="dxa" w:w="3798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矩阵优化和结构失配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资源与网络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GPU-hours、活跃 P 数、P→D KV traffic、跨域峰值流量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效率与通信权衡</w:t>
            </w:r>
          </w:p>
        </w:tc>
      </w:tr>
      <w:tr>
        <w:tc>
          <w:tcPr>
            <w:tcW w:type="dxa" w:w="170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存算协同</w:t>
            </w:r>
          </w:p>
        </w:tc>
        <w:tc>
          <w:tcPr>
            <w:tcW w:type="dxa" w:w="4309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effective μP、recomputed prefix tokens、Saved Prefill GPU time、warmup traffic、ramp-up time</w:t>
            </w:r>
          </w:p>
        </w:tc>
        <w:tc>
          <w:tcPr>
            <w:tcW w:type="dxa" w:w="3798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缓存真正改变计算与重构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稳定性与开销</w:t>
            </w:r>
          </w:p>
        </w:tc>
        <w:tc>
          <w:tcPr>
            <w:tcW w:type="dxa" w:w="430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重构次数、配置翻转、planner latency、预测误差敏感性</w:t>
            </w:r>
          </w:p>
        </w:tc>
        <w:tc>
          <w:tcPr>
            <w:tcW w:type="dxa" w:w="3798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工程可用性</w:t>
            </w:r>
          </w:p>
        </w:tc>
      </w:tr>
    </w:tbl>
    <w:p>
      <w:pPr>
        <w:spacing w:after="20"/>
      </w:pPr>
    </w:p>
    <w:p>
      <w:r>
        <w:t>建议每个动态 case 至少运行 5 次或使用多段 trace，报告均值与 95% 置信区间；同时给出动作时间线（λ、J、活跃 P、warm/cold、SLO）以展示为何重构，而非只汇总平均指标。</w:t>
      </w:r>
    </w:p>
    <w:p>
      <w:pPr>
        <w:pStyle w:val="Heading1"/>
      </w:pPr>
      <w:r>
        <w:t>九 预期论证链与风险控制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92"/>
        <w:gridCol w:w="3192"/>
        <w:gridCol w:w="3192"/>
      </w:tblGrid>
      <w:tr>
        <w:tc>
          <w:tcPr>
            <w:tcW w:type="dxa" w:w="2381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待证明假设</w:t>
            </w:r>
          </w:p>
        </w:tc>
        <w:tc>
          <w:tcPr>
            <w:tcW w:type="dxa" w:w="3572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最直接的实验</w:t>
            </w:r>
          </w:p>
        </w:tc>
        <w:tc>
          <w:tcPr>
            <w:tcW w:type="dxa" w:w="3855"/>
            <w:shd w:fill="1F4E78"/>
            <w:vAlign w:val="center"/>
          </w:tcPr>
          <w:p>
            <w:r>
              <w:rPr>
                <w:b/>
                <w:color w:val="FFFFFF"/>
                <w:sz w:val="18"/>
              </w:rPr>
              <w:t>失败时的解释与调整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H1 固定结构的 P-D 全局分配有价值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Case A</w:t>
            </w:r>
          </w:p>
        </w:tc>
        <w:tc>
          <w:tcPr>
            <w:tcW w:type="dxa" w:w="38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若提升弱，检查网络差异/D 列约束是否足够明显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H2 容量充足仍会结构失配</w:t>
            </w:r>
          </w:p>
        </w:tc>
        <w:tc>
          <w:tcPr>
            <w:tcW w:type="dxa" w:w="3572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Case B</w:t>
            </w:r>
          </w:p>
        </w:tc>
        <w:tc>
          <w:tcPr>
            <w:tcW w:type="dxa" w:w="3855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人为构造高成本边与受限列，避免只在过载时比较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H3 G 优于利用率扩缩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Case C/E</w:t>
            </w:r>
          </w:p>
        </w:tc>
        <w:tc>
          <w:tcPr>
            <w:tcW w:type="dxa" w:w="38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确保基线共享 matcher，收益归因于结构动作判断</w:t>
            </w:r>
          </w:p>
        </w:tc>
      </w:tr>
      <w:tr>
        <w:tc>
          <w:tcPr>
            <w:tcW w:type="dxa" w:w="2381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H4 cache state 改变结构选择</w:t>
            </w:r>
          </w:p>
        </w:tc>
        <w:tc>
          <w:tcPr>
            <w:tcW w:type="dxa" w:w="3572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Case D/F、B3 对照</w:t>
            </w:r>
          </w:p>
        </w:tc>
        <w:tc>
          <w:tcPr>
            <w:tcW w:type="dxa" w:w="3855"/>
            <w:vAlign w:val="center"/>
            <w:shd w:fill="EAF2F8"/>
          </w:tcPr>
          <w:p>
            <w:pPr>
              <w:spacing w:after="40" w:before="40"/>
            </w:pPr>
            <w:r>
              <w:rPr>
                <w:sz w:val="18"/>
              </w:rPr>
              <w:t>记录 Gwarm/Gcold 和 capacity ramp-up，而非只报告 hit rate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H5 控制器可在线运行</w:t>
            </w:r>
          </w:p>
        </w:tc>
        <w:tc>
          <w:tcPr>
            <w:tcW w:type="dxa" w:w="3572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planner latency 与候选数 sweep</w:t>
            </w:r>
          </w:p>
        </w:tc>
        <w:tc>
          <w:tcPr>
            <w:tcW w:type="dxa" w:w="3855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保持候选为 O(域数+P数)，必要时仅触发后评估</w:t>
            </w:r>
          </w:p>
        </w:tc>
      </w:tr>
    </w:tbl>
    <w:p>
      <w:pPr>
        <w:spacing w:after="20"/>
      </w:pPr>
    </w:p>
    <w:p>
      <w:r>
        <w:t>主要风险是把“缓存命中提升”误当作存算协同贡献。规避方法是固定缓存机制，并以 NoCache-aware controller、cold/warm counterfactual、recomputed tokens 与有效容量爬升时间证明缓存状态确实改变了重构决策。另一风险是成本模型不准；第一版可将其作为可替换模块，并报告通过测量值与预测值的偏差。</w:t>
      </w:r>
    </w:p>
    <w:p>
      <w:pPr>
        <w:pStyle w:val="Heading1"/>
      </w:pPr>
      <w:r>
        <w:t>十 最小可发表闭环</w:t>
      </w:r>
    </w:p>
    <w:p>
      <w:r>
        <w:t>最小闭环只需四个模块：状态采集与 profile、min-cost-flow P-D 分配、Structural Gain 的 ±1 P 反事实评估、cache-aware cold/warm 新行。它能形成完整论文叙事：当前最优分配仍可能被资源结构锁死；新增/删除一行的价值来自重塑全局 P-D 分配；Prefix 状态既改变已有 P 的有效能力，也改变新行的形成成本，故存储状态必须进入计算重构决策。</w:t>
      </w:r>
    </w:p>
    <w:p>
      <w:r>
        <w:t>建议题目：面向跨域异构 P/D 分离推理的缓存感知结构收益调度。</w:t>
      </w:r>
    </w:p>
    <w:sectPr w:rsidR="00FC693F" w:rsidRPr="0006063C" w:rsidSect="00034616">
      <w:pgSz w:w="12240" w:h="15840"/>
      <w:pgMar w:top="1247" w:right="1332" w:bottom="1247" w:left="13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