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erif" w:hAnsi="Noto Serif" w:eastAsia="Noto Sans CJK SC"/>
          <w:b/>
          <w:color w:val="1F4E79"/>
          <w:sz w:val="40"/>
        </w:rPr>
        <w:t>跨域 P/D 分离相关工作对比与研究空档分析</w:t>
      </w:r>
    </w:p>
    <w:p>
      <w:pPr>
        <w:spacing w:after="280"/>
        <w:jc w:val="center"/>
      </w:pPr>
      <w:r>
        <w:rPr>
          <w:rFonts w:ascii="Noto Serif" w:hAnsi="Noto Serif" w:eastAsia="Noto Sans CJK SC"/>
          <w:b w:val="0"/>
          <w:color w:val="5A5A5A"/>
          <w:sz w:val="21"/>
        </w:rPr>
        <w:t>聚焦 PrfaaS、HeteroScale、BanaServe、NetKV 与 DOPD（截至 2026 年 8 月）</w:t>
      </w:r>
    </w:p>
    <w:p>
      <w:pPr>
        <w:pStyle w:val="Heading1"/>
      </w:pPr>
      <w:r>
        <w:t>摘要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本文围绕跨域 Prefill/Decode（P/D）分离推理，选取 PrfaaS、HeteroScale、BanaServe、NetKV 和 DOPD 五项代表性工作，从问题定义、决策变量、跨域能力、动态扩缩容、KV 状态、网络模型、算法与实验平台八个维度进行对比。分析表明，现有工作已分别覆盖“跨数据中心 Prefill 卸载”“异构 P/D 扩缩容”“KV/模块迁移”“网络感知 Decode 选择”和“动态 P/D 比例调整”等关键子问题，但仍缺少对“跨域 P/D 实例重配置 + KV 状态迁移 + 网络变化 + 重配置成本”的统一建模。由此，一个较清晰的研究切入点是：跨域状态感知的最小重构 P/D 扩缩容。</w:t>
      </w:r>
    </w:p>
    <w:p>
      <w:pPr>
        <w:pStyle w:val="Heading1"/>
      </w:pPr>
      <w:r>
        <w:t>1. 研究范围与比较口径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本文所称“跨域 P/D 分离”，重点指 Prefill 和 Decode 可能位于不同资源域、网络域、集群或数据中心，且调度器需要同时处理计算资源差异、P/D 容量匹配、KV Cache 传输以及跨域网络约束。为了避免概念混淆，本文特别区分以下三类“动态性”：</w:t>
      </w:r>
    </w:p>
    <w:p>
      <w:pPr>
        <w:pStyle w:val="ListBullet"/>
        <w:spacing w:after="40" w:line="276" w:lineRule="auto"/>
      </w:pPr>
      <w:r>
        <w:rPr>
          <w:rFonts w:ascii="Noto Serif" w:hAnsi="Noto Serif" w:eastAsia="Noto Serif CJK SC"/>
          <w:sz w:val="21"/>
        </w:rPr>
        <w:t>实例级扩缩容：真正增加或减少 P/D 实例数量，例如 scale-out / scale-in。</w:t>
      </w:r>
    </w:p>
    <w:p>
      <w:pPr>
        <w:pStyle w:val="ListBullet"/>
        <w:spacing w:after="40" w:line="276" w:lineRule="auto"/>
      </w:pPr>
      <w:r>
        <w:rPr>
          <w:rFonts w:ascii="Noto Serif" w:hAnsi="Noto Serif" w:eastAsia="Noto Serif CJK SC"/>
          <w:sz w:val="21"/>
        </w:rPr>
        <w:t>角色重配置：在已有节点中改变 P/D 比例或把节点从 Prefill 角色转换为 Decode 角色。</w:t>
      </w:r>
    </w:p>
    <w:p>
      <w:pPr>
        <w:pStyle w:val="ListBullet"/>
        <w:spacing w:after="40" w:line="276" w:lineRule="auto"/>
      </w:pPr>
      <w:r>
        <w:rPr>
          <w:rFonts w:ascii="Noto Serif" w:hAnsi="Noto Serif" w:eastAsia="Noto Serif CJK SC"/>
          <w:sz w:val="21"/>
        </w:rPr>
        <w:t>模块/状态迁移：不改变实例数量，而是在已有 GPU 之间迁移 Transformer layer、KV head 或 KV Cache 以重新平衡负载。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因此，“BanaServe 支持 dynamic migration”不能直接等同于“BanaServe 支持实例级动态扩缩容”；同样，“HeteroScale 考虑 network domain”也不等同于“跨 WAN 的 P/D 分离”。</w:t>
      </w:r>
    </w:p>
    <w:p>
      <w:pPr>
        <w:sectPr>
          <w:footerReference w:type="default" r:id="rId9"/>
          <w:pgSz w:w="12240" w:h="15840"/>
          <w:pgMar w:top="1247" w:right="1361" w:bottom="1134" w:left="1361" w:header="720" w:footer="720" w:gutter="0"/>
          <w:cols w:space="720"/>
          <w:docGrid w:linePitch="360"/>
        </w:sectPr>
      </w:pPr>
    </w:p>
    <w:p>
      <w:pPr>
        <w:pStyle w:val="Heading1"/>
      </w:pPr>
      <w:r>
        <w:t>2. 五篇核心工作的统一对比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9"/>
        <w:gridCol w:w="1609"/>
        <w:gridCol w:w="1609"/>
        <w:gridCol w:w="1609"/>
        <w:gridCol w:w="1609"/>
        <w:gridCol w:w="1609"/>
        <w:gridCol w:w="1609"/>
        <w:gridCol w:w="1609"/>
        <w:gridCol w:w="1609"/>
      </w:tblGrid>
      <w:tr>
        <w:trPr>
          <w:tblHeader w:val="true"/>
          <w:cantSplit/>
        </w:trPr>
        <w:tc>
          <w:tcPr>
            <w:tcW w:type="dxa" w:w="879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6"/>
              </w:rPr>
              <w:t>工作</w:t>
            </w:r>
          </w:p>
        </w:tc>
        <w:tc>
          <w:tcPr>
            <w:tcW w:type="dxa" w:w="2013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6"/>
              </w:rPr>
              <w:t>问题定义</w:t>
            </w:r>
          </w:p>
        </w:tc>
        <w:tc>
          <w:tcPr>
            <w:tcW w:type="dxa" w:w="1899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6"/>
              </w:rPr>
              <w:t>核心决策变量</w:t>
            </w:r>
          </w:p>
        </w:tc>
        <w:tc>
          <w:tcPr>
            <w:tcW w:type="dxa" w:w="964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6"/>
              </w:rPr>
              <w:t>是否跨域</w:t>
            </w:r>
          </w:p>
        </w:tc>
        <w:tc>
          <w:tcPr>
            <w:tcW w:type="dxa" w:w="1446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6"/>
              </w:rPr>
              <w:t>动态扩缩容</w:t>
            </w:r>
          </w:p>
        </w:tc>
        <w:tc>
          <w:tcPr>
            <w:tcW w:type="dxa" w:w="1417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6"/>
              </w:rPr>
              <w:t>KV 状态</w:t>
            </w:r>
          </w:p>
        </w:tc>
        <w:tc>
          <w:tcPr>
            <w:tcW w:type="dxa" w:w="1814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6"/>
              </w:rPr>
              <w:t>网络模型</w:t>
            </w:r>
          </w:p>
        </w:tc>
        <w:tc>
          <w:tcPr>
            <w:tcW w:type="dxa" w:w="2041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6"/>
              </w:rPr>
              <w:t>算法</w:t>
            </w:r>
          </w:p>
        </w:tc>
        <w:tc>
          <w:tcPr>
            <w:tcW w:type="dxa" w:w="1984"/>
            <w:shd w:fill="D9EAF7"/>
            <w:tcMar>
              <w:top w:w="50" w:type="dxa"/>
              <w:start w:w="55" w:type="dxa"/>
              <w:bottom w:w="50" w:type="dxa"/>
              <w:end w:w="55" w:type="dxa"/>
            </w:tcMar>
            <w:vAlign w:val="center"/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6"/>
              </w:rPr>
              <w:t>实验平台</w:t>
            </w:r>
          </w:p>
        </w:tc>
      </w:tr>
      <w:tr>
        <w:trPr>
          <w:cantSplit/>
        </w:trPr>
        <w:tc>
          <w:tcPr>
            <w:tcW w:type="dxa" w:w="879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/>
                <w:sz w:val="14"/>
              </w:rPr>
              <w:t>PrfaaS</w:t>
              <w:br/>
              <w:t>2026</w:t>
            </w:r>
          </w:p>
        </w:tc>
        <w:tc>
          <w:tcPr>
            <w:tcW w:type="dxa" w:w="2013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跨数据中心条件下，将长上下文 Prefill 选择性卸载到独立 P 集群，同时控制 KV 跨域流量并平衡 P/D 吞吐。</w:t>
            </w:r>
          </w:p>
        </w:tc>
        <w:tc>
          <w:tcPr>
            <w:tcW w:type="dxa" w:w="1899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远端/本地 Prefill；长度阈值 t；本地 N_P/N_D；P/D 节点角色；prefix cache 位置</w:t>
            </w:r>
          </w:p>
        </w:tc>
        <w:tc>
          <w:tcPr>
            <w:tcW w:type="dxa" w:w="96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 w:val="0"/>
                <w:sz w:val="14"/>
              </w:rPr>
              <w:t>✅ 真正跨 DC / 跨集群</w:t>
            </w:r>
          </w:p>
        </w:tc>
        <w:tc>
          <w:tcPr>
            <w:tcW w:type="dxa" w:w="1446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 w:val="0"/>
                <w:sz w:val="14"/>
              </w:rPr>
              <w:t>✅ 长时间尺度可重新优化 P/D 数量与角色；短时间尺度动态路由</w:t>
            </w:r>
          </w:p>
        </w:tc>
        <w:tc>
          <w:tcPr>
            <w:tcW w:type="dxa" w:w="1417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✅ 强：global KV manager、prefix locality、跨域 KV transfer</w:t>
            </w:r>
          </w:p>
        </w:tc>
        <w:tc>
          <w:tcPr>
            <w:tcW w:type="dxa" w:w="181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WAN / VPC 带宽约束；实时监测 egress bandwidth 与队列；域内 RDMA、域间专线/VPC</w:t>
            </w:r>
          </w:p>
        </w:tc>
        <w:tc>
          <w:tcPr>
            <w:tcW w:type="dxa" w:w="2041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二维搜索求 t 与 P/D 配置；双时间尺度调度：短期 bandwidth/cache-aware routing，长期 P/D re-optimization</w:t>
            </w:r>
          </w:p>
        </w:tc>
        <w:tc>
          <w:tcPr>
            <w:tcW w:type="dxa" w:w="198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真实 profiling + 模型驱动 case study；H200 PrfaaS 集群 + H20 local PD；跨集群约 100 Gbps VPC</w:t>
            </w:r>
          </w:p>
        </w:tc>
      </w:tr>
      <w:tr>
        <w:trPr>
          <w:cantSplit/>
        </w:trPr>
        <w:tc>
          <w:tcPr>
            <w:tcW w:type="dxa" w:w="879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/>
                <w:sz w:val="14"/>
              </w:rPr>
              <w:t>HeteroScale</w:t>
              <w:br/>
              <w:t>2025</w:t>
            </w:r>
          </w:p>
        </w:tc>
        <w:tc>
          <w:tcPr>
            <w:tcW w:type="dxa" w:w="2013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异构 GPU 与 P/D 分离生产集群中，根据 workload 自动增加/减少 P/D 资源，并维持 P/D balance 与 network affinity。</w:t>
            </w:r>
          </w:p>
        </w:tc>
        <w:tc>
          <w:tcPr>
            <w:tcW w:type="dxa" w:w="1899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P/D instance 数；placement；GPU type；Deployment Group；RDMA Subgroup</w:t>
            </w:r>
          </w:p>
        </w:tc>
        <w:tc>
          <w:tcPr>
            <w:tcW w:type="dxa" w:w="96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 w:val="0"/>
                <w:sz w:val="14"/>
              </w:rPr>
              <w:t>△ 网络域/集群内部，不是 WAN P→D</w:t>
            </w:r>
          </w:p>
        </w:tc>
        <w:tc>
          <w:tcPr>
            <w:tcW w:type="dxa" w:w="1446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 w:val="0"/>
                <w:sz w:val="14"/>
              </w:rPr>
              <w:t>✅ 强：真正 instance scale-out/in；在线主要维持预设 P/D ratio</w:t>
            </w:r>
          </w:p>
        </w:tc>
        <w:tc>
          <w:tcPr>
            <w:tcW w:type="dxa" w:w="1417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△ 弱：感知 P→D KV 传输和网络亲和，但不优化 KV placement/migration</w:t>
            </w:r>
          </w:p>
        </w:tc>
        <w:tc>
          <w:tcPr>
            <w:tcW w:type="dxa" w:w="181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拓扑约束模型：node→S1→S2→cluster/VDC；RDMA affinity；不是动态 congestion cost</w:t>
            </w:r>
          </w:p>
        </w:tc>
        <w:tc>
          <w:tcPr>
            <w:tcW w:type="dxa" w:w="2041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metric-driven autoscaling + preset P/D ratio maintenance + topology-aware placement + anti-flapping</w:t>
            </w:r>
          </w:p>
        </w:tc>
        <w:tc>
          <w:tcPr>
            <w:tcW w:type="dxa" w:w="198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ByteDance 生产系统；数万 GPU；Doubao-Seed-1.6-thinking；代表性实验含 16 节点 × 8 H20</w:t>
            </w:r>
          </w:p>
        </w:tc>
      </w:tr>
      <w:tr>
        <w:trPr>
          <w:cantSplit/>
        </w:trPr>
        <w:tc>
          <w:tcPr>
            <w:tcW w:type="dxa" w:w="879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/>
                <w:sz w:val="14"/>
              </w:rPr>
              <w:t>BanaServe</w:t>
              <w:br/>
              <w:t>2025/26</w:t>
            </w:r>
          </w:p>
        </w:tc>
        <w:tc>
          <w:tcPr>
            <w:tcW w:type="dxa" w:w="2013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静态 P/D 划分造成资源失衡和 cache 热点，通过迁移计算模块与 KV 状态动态重平衡已有 GPU。</w:t>
            </w:r>
          </w:p>
        </w:tc>
        <w:tc>
          <w:tcPr>
            <w:tcW w:type="dxa" w:w="1899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迁移哪些 Transformer layers；哪些 KV heads；迁移目标 GPU；request→P instance</w:t>
            </w:r>
          </w:p>
        </w:tc>
        <w:tc>
          <w:tcPr>
            <w:tcW w:type="dxa" w:w="96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 w:val="0"/>
                <w:sz w:val="14"/>
              </w:rPr>
              <w:t>❌ 当前设计 single-region</w:t>
            </w:r>
          </w:p>
        </w:tc>
        <w:tc>
          <w:tcPr>
            <w:tcW w:type="dxa" w:w="1446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 w:val="0"/>
                <w:sz w:val="14"/>
              </w:rPr>
              <w:t>❌ 严格说不是实例级扩缩容，而是 existing GPUs 间动态 module/KV rebalancing</w:t>
            </w:r>
          </w:p>
        </w:tc>
        <w:tc>
          <w:tcPr>
            <w:tcW w:type="dxa" w:w="1417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✅ 非常强：Global KV Cache Store；layer-level / attention-level KV migration</w:t>
            </w:r>
          </w:p>
        </w:tc>
        <w:tc>
          <w:tcPr>
            <w:tcW w:type="dxa" w:w="181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迁移时间以 S/B 建模；假设 NVLink/InfiniBand/PCIe 等高带宽 DC fabric；无 WAN 拓扑/拥塞优化</w:t>
            </w:r>
          </w:p>
        </w:tc>
        <w:tc>
          <w:tcPr>
            <w:tcW w:type="dxa" w:w="2041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最小化最大 GPU 利用率；受迁移预算 T_mig≤T_budget 约束；粗粒度 layer + 细粒度 attention migration</w:t>
            </w:r>
          </w:p>
        </w:tc>
        <w:tc>
          <w:tcPr>
            <w:tcW w:type="dxa" w:w="198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基于 vLLM/DistServe；LLaMA-13B、OPT-13B；Alpaca + LongBench；single-region</w:t>
            </w:r>
          </w:p>
        </w:tc>
      </w:tr>
      <w:tr>
        <w:trPr>
          <w:cantSplit/>
        </w:trPr>
        <w:tc>
          <w:tcPr>
            <w:tcW w:type="dxa" w:w="879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/>
                <w:sz w:val="14"/>
              </w:rPr>
              <w:t>NetKV</w:t>
              <w:br/>
              <w:t>2026</w:t>
            </w:r>
          </w:p>
        </w:tc>
        <w:tc>
          <w:tcPr>
            <w:tcW w:type="dxa" w:w="2013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P 已确定后，为每个完成 Prefill 的请求选择 Decode 实例，避免只看 load/cache 而忽略网络。</w:t>
            </w:r>
          </w:p>
        </w:tc>
        <w:tc>
          <w:tcPr>
            <w:tcW w:type="dxa" w:w="1899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Decode instance d；queue/load；prefix KV locality；P→D network cost</w:t>
            </w:r>
          </w:p>
        </w:tc>
        <w:tc>
          <w:tcPr>
            <w:tcW w:type="dxa" w:w="96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 w:val="0"/>
                <w:sz w:val="14"/>
              </w:rPr>
              <w:t>❌ intra-cluster</w:t>
            </w:r>
          </w:p>
        </w:tc>
        <w:tc>
          <w:tcPr>
            <w:tcW w:type="dxa" w:w="1446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 w:val="0"/>
                <w:sz w:val="14"/>
              </w:rPr>
              <w:t>❌ P/D pool 固定</w:t>
            </w:r>
          </w:p>
        </w:tc>
        <w:tc>
          <w:tcPr>
            <w:tcW w:type="dxa" w:w="1417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✅ 中强：根据 prefix hit 计算有效 KV 传输量，但不做主动 KV 迁移</w:t>
            </w:r>
          </w:p>
        </w:tc>
        <w:tc>
          <w:tcPr>
            <w:tcW w:type="dxa" w:w="181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五篇中最细：fat-tree tier、静态 bandwidth、latency、dynamic congestion、scheduler self-contention；T=s/B_eff+L</w:t>
            </w:r>
          </w:p>
        </w:tc>
        <w:tc>
          <w:tcPr>
            <w:tcW w:type="dxa" w:w="2041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对所有 D 进行 O(|D|) greedy scoring，联合 queue + cache hit + network cost</w:t>
            </w:r>
          </w:p>
        </w:tc>
        <w:tc>
          <w:tcPr>
            <w:tcW w:type="dxa" w:w="198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  <w:shd w:fill="F7F9FB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纯仿真；64 H100-class GPU，4P+12D，TP=4；4-tier fat-tree；Mooncake 23K production requests</w:t>
            </w:r>
          </w:p>
        </w:tc>
      </w:tr>
      <w:tr>
        <w:trPr>
          <w:cantSplit/>
        </w:trPr>
        <w:tc>
          <w:tcPr>
            <w:tcW w:type="dxa" w:w="879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/>
                <w:sz w:val="14"/>
              </w:rPr>
              <w:t>DOPD</w:t>
              <w:br/>
              <w:t>2025/26</w:t>
            </w:r>
          </w:p>
        </w:tc>
        <w:tc>
          <w:tcPr>
            <w:tcW w:type="dxa" w:w="2013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ISL/OSL/arrival rate 变化时，预测未来负载并计算最优 P/D ratio 与实例数量，进行零停机动态扩缩容。</w:t>
            </w:r>
          </w:p>
        </w:tc>
        <w:tc>
          <w:tcPr>
            <w:tcW w:type="dxa" w:w="1899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N_P、N_D；optimal P/D ratio；P/D TP；短请求是否聚合处理</w:t>
            </w:r>
          </w:p>
        </w:tc>
        <w:tc>
          <w:tcPr>
            <w:tcW w:type="dxa" w:w="96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 w:val="0"/>
                <w:sz w:val="14"/>
              </w:rPr>
              <w:t>❌ local cluster</w:t>
            </w:r>
          </w:p>
        </w:tc>
        <w:tc>
          <w:tcPr>
            <w:tcW w:type="dxa" w:w="1446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rFonts w:ascii="Noto Serif" w:hAnsi="Noto Serif" w:eastAsia="Noto Serif CJK SC"/>
                <w:b w:val="0"/>
                <w:sz w:val="14"/>
              </w:rPr>
              <w:t>✅ 非常强：真正 elastic scale-out/in + zero-downtime resizing</w:t>
            </w:r>
          </w:p>
        </w:tc>
        <w:tc>
          <w:tcPr>
            <w:tcW w:type="dxa" w:w="1417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△ 中等：KV occupancy 是 D 扩容触发；router 看 prefix hit；但不联合优化状态迁移成本</w:t>
            </w:r>
          </w:p>
        </w:tc>
        <w:tc>
          <w:tcPr>
            <w:tcW w:type="dxa" w:w="181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KV 经 NIXL GPU-to-GPU transfer；网络不是主要优化变量；无 topology/WAN/congestion-aware optimization</w:t>
            </w:r>
          </w:p>
        </w:tc>
        <w:tc>
          <w:tcPr>
            <w:tcW w:type="dxa" w:w="2041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离线 TTFT/TPOT profiling → analytical ratio → ARIMA 预测 → proactive scaling；queue/KV occupancy reactive fallback</w:t>
            </w:r>
          </w:p>
        </w:tc>
        <w:tc>
          <w:tcPr>
            <w:tcW w:type="dxa" w:w="1984"/>
            <w:tcMar>
              <w:top w:w="40" w:type="dxa"/>
              <w:start w:w="45" w:type="dxa"/>
              <w:bottom w:w="40" w:type="dxa"/>
              <w:end w:w="45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Noto Serif" w:hAnsi="Noto Serif" w:eastAsia="Noto Serif CJK SC"/>
                <w:b w:val="0"/>
                <w:sz w:val="14"/>
              </w:rPr>
              <w:t>真实 8×H100-SXM-80GB；OPT-30B、Llama-3.3-70B-FP8、Qwen2.5-72B-FP8；BurstGPT/Azure/ShareGPT traces</w:t>
            </w:r>
          </w:p>
        </w:tc>
      </w:tr>
    </w:tbl>
    <w:p>
      <w:pPr>
        <w:jc w:val="center"/>
      </w:pPr>
      <w:r>
        <w:t>表 1  五篇代表性工作的统一比较。表中的“动态扩缩容”仅指实例级或节点角色级资源变化，不把单纯的请求路由等同于扩缩容。</w:t>
      </w:r>
    </w:p>
    <w:p>
      <w:pPr>
        <w:sectPr>
          <w:pgSz w:w="15840" w:h="12240" w:orient="landscape"/>
          <w:pgMar w:top="794" w:right="680" w:bottom="794" w:left="680" w:header="720" w:footer="720" w:gutter="0"/>
          <w:cols w:space="720"/>
          <w:docGrid w:linePitch="360"/>
        </w:sectPr>
      </w:pPr>
    </w:p>
    <w:p>
      <w:pPr>
        <w:pStyle w:val="Heading1"/>
      </w:pPr>
      <w:r>
        <w:t>3. 各工作的关键定位与边界</w:t>
      </w:r>
    </w:p>
    <w:p>
      <w:pPr>
        <w:pStyle w:val="Heading2"/>
      </w:pPr>
      <w:r>
        <w:t>3.1 PrfaaS：当前与“真正跨域 P/D”最接近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PrfaaS 已同时覆盖跨数据中心、P/D 资源配置和 KV 跨域传输三个核心维度。其短时间尺度根据带宽、队列和 prefix cache 状态进行请求路由，长时间尺度则重新检查 Prefill/Decode 瓶颈，并调整本地 P/D 资源比例。因此，如果研究仅表述为“根据 workload 动态调整跨域 P/D 数量”，与 PrfaaS 的差异已经不够明显。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更有区分度的方向是把“从当前配置迁移到目标配置”的代价显式纳入决策，使调度器不仅判断目标配置是否更优，还判断当前时刻是否值得进行重配置。</w:t>
      </w:r>
    </w:p>
    <w:p>
      <w:pPr>
        <w:spacing w:before="80" w:after="140"/>
        <w:jc w:val="center"/>
      </w:pPr>
      <w:r>
        <w:rPr>
          <w:rFonts w:ascii="Noto Serif" w:hAnsi="Noto Serif" w:eastAsia="Noto Sans CJK SC"/>
          <w:sz w:val="21"/>
        </w:rPr>
        <w:t>目标：min  C_serving(x_{t+1}) + λ · C_transition(x_t, x_{t+1})</w:t>
      </w:r>
    </w:p>
    <w:p>
      <w:pPr>
        <w:pStyle w:val="Heading2"/>
      </w:pPr>
      <w:r>
        <w:t>3.2 HeteroScale：异构资源与实例级扩缩容基线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HeteroScale 解决的是生产级异构 P/D 集群中的 autoscaling 与 topology-aware placement。它适合回答“需要扩多少 P/D、使用什么 GPU、应该放入哪个网络资源域”，因此是异构资源扩缩容方向最自然的对比基线。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其不足在于没有把每个实例上的 KV 状态作为核心优化变量。新增或缩减实例时，系统主要关注容量与拓扑亲和性，而不是“哪些状态必须迁移、迁移是否值得、跨域迁移会占用多少网络”。</w:t>
      </w:r>
    </w:p>
    <w:p>
      <w:pPr>
        <w:pStyle w:val="Heading2"/>
      </w:pPr>
      <w:r>
        <w:t>3.3 BanaServe：状态感知重配置的直接参考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BanaServe 的核心价值在于把计算放置与状态迁移成本绑定起来。它通过 layer-level 与 attention-level migration，在已有 GPU 中迁移模块和 KV，从而缓解 P/D 资源不平衡。其迁移约束可概括为：迁移收益必须在给定的迁移时间预算内实现。</w:t>
      </w:r>
    </w:p>
    <w:p>
      <w:pPr>
        <w:spacing w:before="80" w:after="140"/>
        <w:jc w:val="center"/>
      </w:pPr>
      <w:r>
        <w:rPr>
          <w:rFonts w:ascii="Noto Serif" w:hAnsi="Noto Serif" w:eastAsia="Noto Sans CJK SC"/>
          <w:sz w:val="21"/>
        </w:rPr>
        <w:t>T_mig(M) ≤ T_budget，且 T_mig ≈ (S_weight + S_KV) / B_net + T_sync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但 BanaServe 当前主要针对 single-region、高带宽数据中心网络，也没有解决实例数量随 workload 弹性变化的问题。因此它非常适合支撑“为什么存储状态会影响计算重配置”，但不能直接覆盖跨域弹性扩缩容。</w:t>
      </w:r>
    </w:p>
    <w:p>
      <w:pPr>
        <w:pStyle w:val="Heading2"/>
      </w:pPr>
      <w:r>
        <w:t>3.4 NetKV：网络感知请求调度基线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NetKV 的问题位于 request-level：Prefill 完成后，选择哪个 Decode 实例接收该请求。它在五篇工作中对网络建模最细，显式考虑网络层级、带宽、时延、外部拥塞和同时进行的 KV 传输，因此特别适合作为“只做网络感知请求路由、不改变资源配置”的基线。</w:t>
      </w:r>
    </w:p>
    <w:p>
      <w:pPr>
        <w:spacing w:before="80" w:after="140"/>
        <w:jc w:val="center"/>
      </w:pPr>
      <w:r>
        <w:rPr>
          <w:rFonts w:ascii="Noto Serif" w:hAnsi="Noto Serif" w:eastAsia="Noto Sans CJK SC"/>
          <w:sz w:val="21"/>
        </w:rPr>
        <w:t>d* = argmin_d { C_queue + C_decode + C_KV-transfer }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与更高层的 P/D control plane 相比，NetKV 假设 P/D 池已经给定，不负责决定某个域应该有多少 P、多少 D，也不负责实例扩缩容或角色转换。</w:t>
      </w:r>
    </w:p>
    <w:p>
      <w:pPr>
        <w:pStyle w:val="Heading2"/>
      </w:pPr>
      <w:r>
        <w:t>3.5 DOPD：动态 P/D 数量调整的直接基线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DOPD 与“根据请求数量、输入长度和输出长度动态调整 P/D 实例数”的设想最接近。它利用离线性能 profile 与在线 workload 预测计算最优 P/D ratio，并通过 proactive scaling 和 reactive fallback 完成弹性扩缩容。因此，只要研究中包含动态 P/D 数量调整，DOPD 都应作为核心 baseline。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DOPD 的关键空缺是没有把跨域网络、实例状态迁移和重配置成本统一放入扩缩容目标。KV occupancy 虽可用于触发 Decode 扩容，但“缩掉哪个 D、它上的 KV 是否需要迁移、迁移到哪个域以及是否值得迁移”不是其主要优化对象。</w:t>
      </w:r>
    </w:p>
    <w:p>
      <w:pPr>
        <w:pStyle w:val="Heading1"/>
      </w:pPr>
      <w:r>
        <w:t>4. 能力维度总结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  <w:cantSplit/>
        </w:trPr>
        <w:tc>
          <w:tcPr>
            <w:tcW w:type="dxa" w:w="1586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8"/>
              </w:rPr>
              <w:t>能力</w:t>
            </w:r>
          </w:p>
        </w:tc>
        <w:tc>
          <w:tcPr>
            <w:tcW w:type="dxa" w:w="1586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8"/>
              </w:rPr>
              <w:t>PrfaaS</w:t>
            </w:r>
          </w:p>
        </w:tc>
        <w:tc>
          <w:tcPr>
            <w:tcW w:type="dxa" w:w="1586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8"/>
              </w:rPr>
              <w:t>HeteroScale</w:t>
            </w:r>
          </w:p>
        </w:tc>
        <w:tc>
          <w:tcPr>
            <w:tcW w:type="dxa" w:w="1586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8"/>
              </w:rPr>
              <w:t>BanaServe</w:t>
            </w:r>
          </w:p>
        </w:tc>
        <w:tc>
          <w:tcPr>
            <w:tcW w:type="dxa" w:w="1586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8"/>
              </w:rPr>
              <w:t>NetKV</w:t>
            </w:r>
          </w:p>
        </w:tc>
        <w:tc>
          <w:tcPr>
            <w:tcW w:type="dxa" w:w="1586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8"/>
              </w:rPr>
              <w:t>DOPD</w:t>
            </w:r>
          </w:p>
        </w:tc>
      </w:tr>
      <w:tr>
        <w:trPr>
          <w:cantSplit/>
        </w:trPr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动态请求路由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△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动态 P/D 实例数量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动态 P/D ratio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△ 预设目标比例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异构 GPU placement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 强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△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</w:tr>
      <w:tr>
        <w:trPr>
          <w:cantSplit/>
        </w:trPr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KV locality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△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</w:tr>
      <w:tr>
        <w:trPr>
          <w:cantSplit/>
        </w:trPr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主动 KV / 模块迁移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△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 强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</w:tr>
      <w:tr>
        <w:trPr>
          <w:cantSplit/>
        </w:trPr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显式状态迁移成本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△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仅传输成本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</w:tr>
      <w:tr>
        <w:trPr>
          <w:cantSplit/>
        </w:trPr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动态网络状态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 带宽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 强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</w:tr>
      <w:tr>
        <w:trPr>
          <w:cantSplit/>
        </w:trPr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WAN / 跨域带宽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</w:tr>
      <w:tr>
        <w:trPr>
          <w:cantSplit/>
        </w:trPr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真正跨数据中心 P/D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✅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shd w:fill="F7F9FB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</w:tr>
      <w:tr>
        <w:trPr>
          <w:cantSplit/>
        </w:trPr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left"/>
            </w:pPr>
            <w:r>
              <w:rPr>
                <w:rFonts w:ascii="Noto Serif" w:hAnsi="Noto Serif" w:eastAsia="Noto Serif CJK SC"/>
                <w:b/>
                <w:sz w:val="17"/>
              </w:rPr>
              <w:t>最小变动/重配置约束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△ anti-flapping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△ migration budget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❌</w:t>
            </w:r>
          </w:p>
        </w:tc>
        <w:tc>
          <w:tcPr>
            <w:tcW w:type="dxa" w:w="1586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>
              <w:rPr>
                <w:rFonts w:ascii="Noto Serif" w:hAnsi="Noto Serif" w:eastAsia="Noto Serif CJK SC"/>
                <w:b w:val="0"/>
                <w:sz w:val="17"/>
              </w:rPr>
              <w:t>△ 扩缩步长控制</w:t>
            </w:r>
          </w:p>
        </w:tc>
      </w:tr>
    </w:tbl>
    <w:p>
      <w:pPr>
        <w:pStyle w:val="Heading1"/>
      </w:pPr>
      <w:r>
        <w:t>5. 研究空档：跨域状态感知的最小重构 P/D 扩缩容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将五项工作放在同一框架下，可以看到现有研究已经分别解决了 P/D 扩缩容、异构资源放置、网络感知路由、KV 状态迁移和跨数据中心 Prefill 卸载等子问题，但这些决策大多是分开的。一个仍较有空间的问题是：在已有系统状态 x_t 的前提下，联合决定是否跨域扩容、缩容或改变 P/D 角色，并把 KV 状态迁移和重配置成本作为一等公民。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可以把系统状态表示为：</w:t>
      </w:r>
    </w:p>
    <w:p>
      <w:pPr>
        <w:spacing w:before="80" w:after="140"/>
        <w:jc w:val="center"/>
      </w:pPr>
      <w:r>
        <w:rPr>
          <w:rFonts w:ascii="Noto Serif" w:hAnsi="Noto Serif" w:eastAsia="Noto Sans CJK SC"/>
          <w:sz w:val="21"/>
        </w:rPr>
        <w:t>x_t = { N_{P,d}, N_{D,d}, GPU_i, KV_i, B_{d,d′}(t), λ_t, L_in,t, L_out,t }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其中 N_{P,d}、N_{D,d} 表示域 d 中 Prefill/Decode 实例数量，GPU_i 表示异构 GPU 类型和容量，KV_i 表示实例上的活动/热点 KV 状态，B_{d,d′}(t) 表示跨域链路带宽，λ_t、L_in,t、L_out,t 描述 workload。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调度动作可以表示为：</w:t>
      </w:r>
    </w:p>
    <w:p>
      <w:pPr>
        <w:spacing w:before="80" w:after="140"/>
        <w:jc w:val="center"/>
      </w:pPr>
      <w:r>
        <w:rPr>
          <w:rFonts w:ascii="Noto Serif" w:hAnsi="Noto Serif" w:eastAsia="Noto Sans CJK SC"/>
          <w:sz w:val="21"/>
        </w:rPr>
        <w:t>a_t = { scale_out, scale_in, P/D_role_conversion, placement, KV_migration }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目标函数不再只优化新配置本身，而需要同时考虑运行性能与从当前状态迁移过去的代价：</w:t>
      </w:r>
    </w:p>
    <w:p>
      <w:pPr>
        <w:spacing w:before="80" w:after="140"/>
        <w:jc w:val="center"/>
      </w:pPr>
      <w:r>
        <w:rPr>
          <w:rFonts w:ascii="Noto Serif" w:hAnsi="Noto Serif" w:eastAsia="Noto Sans CJK SC"/>
          <w:sz w:val="21"/>
        </w:rPr>
        <w:t>min_a  L(x_{t+1}) + α C_GPU + β C_WAN + γ C_KV-mig + δ C_reconfig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并满足 TTFT、TPOT 等服务等级目标。这里真正形成“存算协同”的是 C_KV-mig 与 C_reconfig：计算实例的扩缩容和角色变化会改变 KV 所在位置；KV 的体量和热度又决定跨域迁移是否可接受，进而反过来影响是否应该执行扩缩容。</w:t>
      </w:r>
    </w:p>
    <w:p>
      <w:pPr>
        <w:pStyle w:val="Heading1"/>
      </w:pPr>
      <w:r>
        <w:t>6. 与五篇工作的差异可以如何表述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17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8"/>
              </w:rPr>
              <w:t>工作</w:t>
            </w:r>
          </w:p>
        </w:tc>
        <w:tc>
          <w:tcPr>
            <w:tcW w:type="dxa" w:w="317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8"/>
              </w:rPr>
              <w:t>其主要回答的问题</w:t>
            </w:r>
          </w:p>
        </w:tc>
        <w:tc>
          <w:tcPr>
            <w:tcW w:type="dxa" w:w="3173"/>
            <w:shd w:fill="D9EAF7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" w:hAnsi="Noto Serif" w:eastAsia="Noto Sans CJK SC"/>
                <w:b/>
                <w:color w:val="1F4E79"/>
                <w:sz w:val="18"/>
              </w:rPr>
              <w:t>拟研究方向进一步回答的问题</w:t>
            </w:r>
          </w:p>
        </w:tc>
      </w:tr>
      <w:tr>
        <w:trPr>
          <w:cantSplit/>
        </w:trPr>
        <w:tc>
          <w:tcPr>
            <w:tcW w:type="dxa" w:w="317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/>
                <w:sz w:val="17"/>
              </w:rPr>
              <w:t>HeteroScale</w:t>
            </w:r>
          </w:p>
        </w:tc>
        <w:tc>
          <w:tcPr>
            <w:tcW w:type="dxa" w:w="317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 w:val="0"/>
                <w:sz w:val="17"/>
              </w:rPr>
              <w:t>workload 变化后，需要扩多少 P/D、用什么异构 GPU、放在哪个拓扑资源池？</w:t>
            </w:r>
          </w:p>
        </w:tc>
        <w:tc>
          <w:tcPr>
            <w:tcW w:type="dxa" w:w="317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 w:val="0"/>
                <w:sz w:val="17"/>
              </w:rPr>
              <w:t>在跨域 KV 状态已存在时，扩/缩/改角色是否值得，如何控制迁移和重配置成本？</w:t>
            </w:r>
          </w:p>
        </w:tc>
      </w:tr>
      <w:tr>
        <w:trPr>
          <w:cantSplit/>
        </w:trPr>
        <w:tc>
          <w:tcPr>
            <w:tcW w:type="dxa" w:w="3173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/>
                <w:sz w:val="17"/>
              </w:rPr>
              <w:t>DOPD</w:t>
            </w:r>
          </w:p>
        </w:tc>
        <w:tc>
          <w:tcPr>
            <w:tcW w:type="dxa" w:w="3173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 w:val="0"/>
                <w:sz w:val="17"/>
              </w:rPr>
              <w:t>workload 变化后，最优 N_P/N_D 与实例数量是多少？</w:t>
            </w:r>
          </w:p>
        </w:tc>
        <w:tc>
          <w:tcPr>
            <w:tcW w:type="dxa" w:w="3173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 w:val="0"/>
                <w:sz w:val="17"/>
              </w:rPr>
              <w:t>最优目标配置之外，如何考虑从当前配置到目标配置的跨域 transition cost？</w:t>
            </w:r>
          </w:p>
        </w:tc>
      </w:tr>
      <w:tr>
        <w:trPr>
          <w:cantSplit/>
        </w:trPr>
        <w:tc>
          <w:tcPr>
            <w:tcW w:type="dxa" w:w="317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/>
                <w:sz w:val="17"/>
              </w:rPr>
              <w:t>NetKV</w:t>
            </w:r>
          </w:p>
        </w:tc>
        <w:tc>
          <w:tcPr>
            <w:tcW w:type="dxa" w:w="317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 w:val="0"/>
                <w:sz w:val="17"/>
              </w:rPr>
              <w:t>P 完成后，这个请求应该选择哪个 D？</w:t>
            </w:r>
          </w:p>
        </w:tc>
        <w:tc>
          <w:tcPr>
            <w:tcW w:type="dxa" w:w="317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 w:val="0"/>
                <w:sz w:val="17"/>
              </w:rPr>
              <w:t>更高层先决定每个域应有多少 P/D、哪些实例需要扩缩，再进行 request routing。</w:t>
            </w:r>
          </w:p>
        </w:tc>
      </w:tr>
      <w:tr>
        <w:trPr>
          <w:cantSplit/>
        </w:trPr>
        <w:tc>
          <w:tcPr>
            <w:tcW w:type="dxa" w:w="3173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/>
                <w:sz w:val="17"/>
              </w:rPr>
              <w:t>BanaServe</w:t>
            </w:r>
          </w:p>
        </w:tc>
        <w:tc>
          <w:tcPr>
            <w:tcW w:type="dxa" w:w="3173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 w:val="0"/>
                <w:sz w:val="17"/>
              </w:rPr>
              <w:t>现有 GPU 负载不平衡时，哪些 layer/KV 应该迁移？</w:t>
            </w:r>
          </w:p>
        </w:tc>
        <w:tc>
          <w:tcPr>
            <w:tcW w:type="dxa" w:w="3173"/>
            <w:shd w:fill="F7F9FB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 w:val="0"/>
                <w:sz w:val="17"/>
              </w:rPr>
              <w:t>将状态迁移从单域负载均衡扩展到跨域实例级弹性重配置，并联合 WAN 成本。</w:t>
            </w:r>
          </w:p>
        </w:tc>
      </w:tr>
      <w:tr>
        <w:trPr>
          <w:cantSplit/>
        </w:trPr>
        <w:tc>
          <w:tcPr>
            <w:tcW w:type="dxa" w:w="317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/>
                <w:sz w:val="17"/>
              </w:rPr>
              <w:t>PrfaaS</w:t>
            </w:r>
          </w:p>
        </w:tc>
        <w:tc>
          <w:tcPr>
            <w:tcW w:type="dxa" w:w="317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 w:val="0"/>
                <w:sz w:val="17"/>
              </w:rPr>
              <w:t>长上下文请求是否跨 DC 做 Prefill，本地 P/D 配置如何调整？</w:t>
            </w:r>
          </w:p>
        </w:tc>
        <w:tc>
          <w:tcPr>
            <w:tcW w:type="dxa" w:w="3173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>
              <w:rPr>
                <w:rFonts w:ascii="Noto Serif" w:hAnsi="Noto Serif" w:eastAsia="Noto Serif CJK SC"/>
                <w:b w:val="0"/>
                <w:sz w:val="17"/>
              </w:rPr>
              <w:t>不仅找更优配置，还判断从当前配置变到目标配置是否值得，并选择最小代价的重构路径。</w:t>
            </w:r>
          </w:p>
        </w:tc>
      </w:tr>
    </w:tbl>
    <w:p>
      <w:pPr>
        <w:pStyle w:val="Heading1"/>
      </w:pPr>
      <w:r>
        <w:t>7. 建议的论文问题表述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一个较精简且与现有工作边界清晰的问题表述可以是：</w:t>
      </w:r>
    </w:p>
    <w:p>
      <w:pPr>
        <w:spacing w:before="100" w:after="160" w:line="312" w:lineRule="auto"/>
        <w:ind w:left="340" w:right="340"/>
        <w:jc w:val="left"/>
      </w:pPr>
      <w:r>
        <w:rPr>
          <w:rFonts w:ascii="Noto Serif" w:hAnsi="Noto Serif" w:eastAsia="Noto Sans CJK SC"/>
          <w:b/>
          <w:color w:val="1F4E79"/>
          <w:sz w:val="22"/>
        </w:rPr>
        <w:t>“面向异构跨域 P/D 分离推理，在 workload 和跨域带宽变化下，动态决定各域 P/D 实例数量与角色配置；在进行扩缩容或角色变换时，联合考虑现有 KV 状态、跨域迁移成本和服务收益，选择满足 SLO 的最小重构方案。”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这一表述将研究核心从“再做一个动态 P/D ratio 算法”转移到“stateful transition-aware control plane”。其价值在于解释现实系统中的一个反直觉现象：即使目标配置 B 的稳态性能优于当前配置 A，若迁移 KV、预热新实例和占用跨域带宽的代价过大，短时间内保持 A 反而可能拥有更低的总成本。</w:t>
      </w:r>
    </w:p>
    <w:p>
      <w:pPr>
        <w:pStyle w:val="Heading1"/>
      </w:pPr>
      <w:r>
        <w:t>8. 建议的 baseline 组合</w:t>
      </w:r>
    </w:p>
    <w:p>
      <w:pPr>
        <w:pStyle w:val="ListBullet"/>
        <w:spacing w:after="40" w:line="276" w:lineRule="auto"/>
      </w:pPr>
      <w:r>
        <w:rPr>
          <w:rFonts w:ascii="Noto Serif" w:hAnsi="Noto Serif" w:eastAsia="Noto Serif CJK SC"/>
          <w:sz w:val="21"/>
        </w:rPr>
        <w:t>DOPD：代表动态 P/D ratio 与实例级扩缩容，但不考虑跨域状态迁移。</w:t>
      </w:r>
    </w:p>
    <w:p>
      <w:pPr>
        <w:pStyle w:val="ListBullet"/>
        <w:spacing w:after="40" w:line="276" w:lineRule="auto"/>
      </w:pPr>
      <w:r>
        <w:rPr>
          <w:rFonts w:ascii="Noto Serif" w:hAnsi="Noto Serif" w:eastAsia="Noto Serif CJK SC"/>
          <w:sz w:val="21"/>
        </w:rPr>
        <w:t>HeteroScale：代表异构 GPU + topology-aware autoscaling，但 KV 状态不是核心变量。</w:t>
      </w:r>
    </w:p>
    <w:p>
      <w:pPr>
        <w:pStyle w:val="ListBullet"/>
        <w:spacing w:after="40" w:line="276" w:lineRule="auto"/>
      </w:pPr>
      <w:r>
        <w:rPr>
          <w:rFonts w:ascii="Noto Serif" w:hAnsi="Noto Serif" w:eastAsia="Noto Serif CJK SC"/>
          <w:sz w:val="21"/>
        </w:rPr>
        <w:t>NetKV：代表网络感知 request-level P→D 调度，可作为“固定资源池 + 最优请求路由”基线。</w:t>
      </w:r>
    </w:p>
    <w:p>
      <w:pPr>
        <w:pStyle w:val="ListBullet"/>
        <w:spacing w:after="40" w:line="276" w:lineRule="auto"/>
      </w:pPr>
      <w:r>
        <w:rPr>
          <w:rFonts w:ascii="Noto Serif" w:hAnsi="Noto Serif" w:eastAsia="Noto Serif CJK SC"/>
          <w:sz w:val="21"/>
        </w:rPr>
        <w:t>BanaServe：代表显式状态/模块迁移，可以验证“只迁移状态、不做跨域弹性资源重配置”的效果。</w:t>
      </w:r>
    </w:p>
    <w:p>
      <w:pPr>
        <w:pStyle w:val="ListBullet"/>
        <w:spacing w:after="40" w:line="276" w:lineRule="auto"/>
      </w:pPr>
      <w:r>
        <w:rPr>
          <w:rFonts w:ascii="Noto Serif" w:hAnsi="Noto Serif" w:eastAsia="Noto Serif CJK SC"/>
          <w:sz w:val="21"/>
        </w:rPr>
        <w:t>PrfaaS：代表真正跨数据中心 P/D 与带宽感知路由，是最需要正面对比的跨域系统。</w:t>
      </w:r>
    </w:p>
    <w:p>
      <w:pPr>
        <w:spacing w:before="0" w:after="80" w:line="300" w:lineRule="auto"/>
        <w:ind w:firstLine="420"/>
      </w:pPr>
      <w:r>
        <w:rPr>
          <w:rFonts w:ascii="Noto Serif" w:hAnsi="Noto Serif" w:eastAsia="Noto Serif CJK SC"/>
          <w:sz w:val="21"/>
        </w:rPr>
        <w:t>此外，可增加一个简单但很重要的 ablation：在相同目标配置搜索算法下，去掉 C_KV-mig 与 C_reconfig，仅根据稳态性能选配置。该基线能够直接量化“考虑存储状态与重配置代价”带来的收益，是体现存算协同最关键的实验之一。</w:t>
      </w:r>
    </w:p>
    <w:p>
      <w:pPr>
        <w:pStyle w:val="Heading1"/>
      </w:pPr>
      <w:r>
        <w:t>9. 参考工作</w:t>
      </w:r>
    </w:p>
    <w:p>
      <w:pPr>
        <w:spacing w:after="60"/>
        <w:ind w:left="227" w:hanging="227"/>
      </w:pPr>
      <w:r>
        <w:rPr>
          <w:rFonts w:ascii="Noto Serif" w:hAnsi="Noto Serif" w:eastAsia="Noto Serif CJK SC"/>
          <w:sz w:val="19"/>
        </w:rPr>
        <w:t>[1] Prefill-as-a-Service: KVCache of Next-Generation Models Could Go Cross-Datacenter, 2026.</w:t>
      </w:r>
    </w:p>
    <w:p>
      <w:pPr>
        <w:spacing w:after="60"/>
        <w:ind w:left="227" w:hanging="227"/>
      </w:pPr>
      <w:r>
        <w:rPr>
          <w:rFonts w:ascii="Noto Serif" w:hAnsi="Noto Serif" w:eastAsia="Noto Serif CJK SC"/>
          <w:sz w:val="19"/>
        </w:rPr>
        <w:t>[2] Taming the Chaos: Coordinated Autoscaling for Heterogeneous and Disaggregated LLM Inference (HeteroScale), 2025.</w:t>
      </w:r>
    </w:p>
    <w:p>
      <w:pPr>
        <w:spacing w:after="60"/>
        <w:ind w:left="227" w:hanging="227"/>
      </w:pPr>
      <w:r>
        <w:rPr>
          <w:rFonts w:ascii="Noto Serif" w:hAnsi="Noto Serif" w:eastAsia="Noto Serif CJK SC"/>
          <w:sz w:val="19"/>
        </w:rPr>
        <w:t>[3] BanaServe: Unified KV Cache and Dynamic Module Migration for Balancing Disaggregated LLM Serving, 2025/2026.</w:t>
      </w:r>
    </w:p>
    <w:p>
      <w:pPr>
        <w:spacing w:after="60"/>
        <w:ind w:left="227" w:hanging="227"/>
      </w:pPr>
      <w:r>
        <w:rPr>
          <w:rFonts w:ascii="Noto Serif" w:hAnsi="Noto Serif" w:eastAsia="Noto Serif CJK SC"/>
          <w:sz w:val="19"/>
        </w:rPr>
        <w:t>[4] NetKV: Network-Aware Decode Instance Selection for Disaggregated LLM Inference, 2026.</w:t>
      </w:r>
    </w:p>
    <w:p>
      <w:pPr>
        <w:spacing w:after="60"/>
        <w:ind w:left="227" w:hanging="227"/>
      </w:pPr>
      <w:r>
        <w:rPr>
          <w:rFonts w:ascii="Noto Serif" w:hAnsi="Noto Serif" w:eastAsia="Noto Serif CJK SC"/>
          <w:sz w:val="19"/>
        </w:rPr>
        <w:t>[5] DOPD: A Dynamic PD-Disaggregation Architecture for Maximizing Goodput, 2025/2026.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" w:hAnsi="Noto Serif" w:eastAsia="Noto Sans CJK SC"/>
        <w:b w:val="0"/>
        <w:color w:val="787878"/>
        <w:sz w:val="16"/>
      </w:rPr>
      <w:t>跨域 P/D 分离相关工作对比与研究空档分析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