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Times New Roman" w:hAnsi="Times New Roman"/>
          <w:b/>
          <w:i w:val="0"/>
          <w:color w:val="505050"/>
          <w:sz w:val="22"/>
          <w:rFonts w:ascii="Times New Roman" w:hAnsi="Times New Roman" w:cs="Times New Roman"/>
        </w:rPr>
        <w:t>BỘ GIÁO DỤC VÀ ĐÀO TẠO — TRƯỜNG ĐẠI HỌC BÁCH KHOA, ĐẠI HỌC ĐÀ NẴNG</w:t>
      </w:r>
    </w:p>
    <w:p>
      <w:pPr>
        <w:spacing w:before="0" w:after="360" w:line="288" w:lineRule="auto"/>
        <w:jc w:val="center"/>
      </w:pPr>
      <w:r>
        <w:rPr>
          <w:rFonts w:ascii="Times New Roman" w:hAnsi="Times New Roman"/>
          <w:b/>
          <w:i w:val="0"/>
          <w:color w:val="646464"/>
          <w:sz w:val="22"/>
          <w:rFonts w:ascii="Times New Roman" w:hAnsi="Times New Roman" w:cs="Times New Roman"/>
        </w:rPr>
        <w:t>CUỘC THI THIẾT KẾ ĐIỆN TỬ VIỆT NAM 2026 (VEDC 2026) — ĐỘI NOVA</w:t>
      </w:r>
    </w:p>
    <w:p>
      <w:pPr>
        <w:spacing w:before="0" w:after="120" w:line="288" w:lineRule="auto"/>
        <w:jc w:val="center"/>
      </w:pPr>
      <w:r>
        <w:rPr>
          <w:rFonts w:ascii="Times New Roman" w:hAnsi="Times New Roman"/>
          <w:b/>
          <w:i w:val="0"/>
          <w:color w:val="1B365D"/>
          <w:sz w:val="36"/>
          <w:rFonts w:ascii="Times New Roman" w:hAnsi="Times New Roman" w:cs="Times New Roman"/>
        </w:rPr>
        <w:t>BÁO CÁO NGHIÊN CỨU KHOA HỌC &amp; THIẾT KẾ GIẢI THUẬT</w:t>
      </w:r>
    </w:p>
    <w:p>
      <w:pPr>
        <w:spacing w:before="0" w:after="320" w:line="288" w:lineRule="auto"/>
        <w:jc w:val="center"/>
      </w:pPr>
      <w:r>
        <w:rPr>
          <w:rFonts w:ascii="Times New Roman" w:hAnsi="Times New Roman"/>
          <w:b/>
          <w:i w:val="0"/>
          <w:color w:val="2980B9"/>
          <w:sz w:val="27"/>
          <w:rFonts w:ascii="Times New Roman" w:hAnsi="Times New Roman" w:cs="Times New Roman"/>
        </w:rPr>
        <w:t>TỐI ƯU HÓA THEO DÕI ĐA ĐỐI TƯỢNG BYTETRACK VÀ ĐỘNG CƠ TÍNH TOÁN RỦI RO ĐIỂM MÙ (BSRI) CHO CẢ XE ĐẦU KÉO RƠ-MOÓC VÀ XE TẢI LIỀN THÂN DỰA TRÊN CỤM CẢM BIẾN IMU - GPS ĐỘC LẬP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insideV w:val="none"/>
          <w:left w:val="none"/>
          <w:right w:val="none"/>
        </w:tblBorders>
      </w:tblPr>
      <w:tblGrid>
        <w:gridCol w:w="3168"/>
        <w:gridCol w:w="6192"/>
      </w:tblGrid>
      <w:tr>
        <w:tc>
          <w:tcPr>
            <w:tcW w:type="dxa" w:w="4536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1B365D"/>
                <w:sz w:val="24"/>
                <w:rFonts w:ascii="Times New Roman" w:hAnsi="Times New Roman" w:cs="Times New Roman"/>
              </w:rPr>
              <w:t>Tên dự án:</w:t>
            </w:r>
          </w:p>
        </w:tc>
        <w:tc>
          <w:tcPr>
            <w:tcW w:type="dxa" w:w="453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282828"/>
                <w:sz w:val="24"/>
                <w:rFonts w:ascii="Times New Roman" w:hAnsi="Times New Roman" w:cs="Times New Roman"/>
              </w:rPr>
              <w:t>BlindGuard AI — Hệ Thống Cảnh Báo Sớm Điểm Mù Cho Xe Tải Nặng</w:t>
            </w:r>
          </w:p>
        </w:tc>
      </w:tr>
      <w:tr>
        <w:tc>
          <w:tcPr>
            <w:tcW w:type="dxa" w:w="4536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1B365D"/>
                <w:sz w:val="24"/>
                <w:rFonts w:ascii="Times New Roman" w:hAnsi="Times New Roman" w:cs="Times New Roman"/>
              </w:rPr>
              <w:t>Tác giả &amp; Kỹ sư AI:</w:t>
            </w:r>
          </w:p>
        </w:tc>
        <w:tc>
          <w:tcPr>
            <w:tcW w:type="dxa" w:w="453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282828"/>
                <w:sz w:val="24"/>
                <w:rFonts w:ascii="Times New Roman" w:hAnsi="Times New Roman" w:cs="Times New Roman"/>
              </w:rPr>
              <w:t>Nguyễn Văn Kỳ &amp; Đội ngũ Kỹ thuật BlindGuard AI</w:t>
            </w:r>
          </w:p>
        </w:tc>
      </w:tr>
      <w:tr>
        <w:tc>
          <w:tcPr>
            <w:tcW w:type="dxa" w:w="4536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1B365D"/>
                <w:sz w:val="24"/>
                <w:rFonts w:ascii="Times New Roman" w:hAnsi="Times New Roman" w:cs="Times New Roman"/>
              </w:rPr>
              <w:t>Đơn vị công tác:</w:t>
            </w:r>
          </w:p>
        </w:tc>
        <w:tc>
          <w:tcPr>
            <w:tcW w:type="dxa" w:w="453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282828"/>
                <w:sz w:val="24"/>
                <w:rFonts w:ascii="Times New Roman" w:hAnsi="Times New Roman" w:cs="Times New Roman"/>
              </w:rPr>
              <w:t>Khoa Điện tử - Viễn thông, Trường Đại học Bách Khoa - ĐH Đà Nẵng</w:t>
            </w:r>
          </w:p>
        </w:tc>
      </w:tr>
      <w:tr>
        <w:tc>
          <w:tcPr>
            <w:tcW w:type="dxa" w:w="4536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1B365D"/>
                <w:sz w:val="24"/>
                <w:rFonts w:ascii="Times New Roman" w:hAnsi="Times New Roman" w:cs="Times New Roman"/>
              </w:rPr>
              <w:t>Cơ chế tích hợp xe:</w:t>
            </w:r>
          </w:p>
        </w:tc>
        <w:tc>
          <w:tcPr>
            <w:tcW w:type="dxa" w:w="453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282828"/>
                <w:sz w:val="24"/>
                <w:rFonts w:ascii="Times New Roman" w:hAnsi="Times New Roman" w:cs="Times New Roman"/>
              </w:rPr>
              <w:t>Hệ thống độc lập Retrofit (Chỉ dùng IMU 6-DOF &amp; GNSS, Tuyệt đối không can thiệp CAN Bus xe)</w:t>
            </w:r>
          </w:p>
        </w:tc>
      </w:tr>
    </w:tbl>
    <w:p>
      <w:pPr>
        <w:spacing w:before="0" w:after="240" w:line="288" w:lineRule="auto"/>
        <w:jc w:val="both"/>
      </w:pPr>
    </w:p>
    <w:p>
      <w:pPr>
        <w:spacing w:before="280" w:after="120" w:line="288" w:lineRule="auto"/>
        <w:jc w:val="left"/>
      </w:pPr>
      <w:r>
        <w:rPr>
          <w:rFonts w:ascii="Times New Roman" w:hAnsi="Times New Roman"/>
          <w:b/>
          <w:i w:val="0"/>
          <w:color w:val="1B365D"/>
          <w:sz w:val="32"/>
          <w:rFonts w:ascii="Times New Roman" w:hAnsi="Times New Roman" w:cs="Times New Roman"/>
        </w:rPr>
        <w:t>1. BỐI CẢNH THỰC TẾ &amp; NGUYÊN LÝ THIẾT KẾ ĐỘC LẬP (KHÔNG DÙNG CAN BUS)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Trong quá trình nghiên cứu và triển khai hệ thống ADAS cảnh báo điểm mù cho phương tiện tải nặng tại Việt Nam, câu hỏi cốt lõi là: Hệ thống có nên can thiệp vào mạng CAN Bus của xe hay không? Câu trả lời dứt khoát là KHÔNG.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EBF5FB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0" w:space="0" w:color="2980B9"/>
              <w:top w:val="none"/>
              <w:right w:val="none"/>
              <w:bottom w:val="none"/>
            </w:tcBorders>
          </w:tcPr>
          <w:p>
            <w:pPr>
              <w:spacing w:before="40" w:after="60"/>
              <w:jc w:val="left"/>
            </w:pPr>
            <w:r>
              <w:rPr>
                <w:rFonts w:ascii="Times New Roman" w:hAnsi="Times New Roman"/>
                <w:b/>
                <w:i w:val="0"/>
                <w:color w:val="1B365D"/>
                <w:sz w:val="25"/>
                <w:rFonts w:ascii="Times New Roman" w:hAnsi="Times New Roman" w:cs="Times New Roman"/>
              </w:rPr>
              <w:t xml:space="preserve">📌 Nguyên Tắc Thiết Kế Sống Còn: </w:t>
            </w:r>
            <w:r>
              <w:rPr>
                <w:rFonts w:ascii="Times New Roman" w:hAnsi="Times New Roman"/>
                <w:b w:val="0"/>
                <w:i/>
                <w:color w:val="282828"/>
                <w:sz w:val="24"/>
                <w:rFonts w:ascii="Times New Roman" w:hAnsi="Times New Roman" w:cs="Times New Roman"/>
              </w:rPr>
              <w:t>Hệ thống BlindGuard AI được thiết kế hoàn toàn theo mô hình Retrofit Standalone. Hệ thống KHÔNG kết nối vào mạng CAN Bus, chỉ lấy nguồn cấp 12V/24V và đo đạc toàn bộ động học xe thông qua cụm cảm biến IMU (6-DOF) và GNSS (GPS).</w:t>
            </w:r>
          </w:p>
        </w:tc>
      </w:tr>
    </w:tbl>
    <w:p>
      <w:pPr>
        <w:spacing w:before="0" w:after="80"/>
      </w:pPr>
    </w:p>
    <w:p>
      <w:pPr>
        <w:spacing w:before="200" w:after="80" w:line="288" w:lineRule="auto"/>
        <w:jc w:val="left"/>
      </w:pPr>
      <w:r>
        <w:rPr>
          <w:rFonts w:ascii="Times New Roman" w:hAnsi="Times New Roman"/>
          <w:b/>
          <w:i w:val="0"/>
          <w:color w:val="2980B9"/>
          <w:sz w:val="28"/>
          <w:rFonts w:ascii="Times New Roman" w:hAnsi="Times New Roman" w:cs="Times New Roman"/>
        </w:rPr>
        <w:t>1.1. Ba lý do khoa học &amp; thực tiễn loại bỏ kết nối CAN Bus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/>
          <w:i w:val="0"/>
          <w:color w:val="282828"/>
          <w:sz w:val="26"/>
          <w:rFonts w:ascii="Times New Roman" w:hAnsi="Times New Roman" w:cs="Times New Roman"/>
        </w:rPr>
        <w:t xml:space="preserve">Thứ nhất, tính phân mảnh giao thức (Protocol Fragmentation): </w:t>
      </w: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Hino, Isuzu, Hyundai, Howo, Chenglong, Thaco... đều mã hóa dữ liệu J1939 hoặc mã PGN độc quyền riêng. Giải mã từng dòng xe là bất khả thi.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/>
          <w:i w:val="0"/>
          <w:color w:val="282828"/>
          <w:sz w:val="26"/>
          <w:rFonts w:ascii="Times New Roman" w:hAnsi="Times New Roman" w:cs="Times New Roman"/>
        </w:rPr>
        <w:t xml:space="preserve">Thứ hai, an toàn điện khí và bảo hành xe (Warranty &amp; Electrical Safety): </w:t>
      </w: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Đấu nối dây vào CAN Bus làm mất bảo hành chính hãng và tiềm ẩn nguy cơ chập cháy làm tê liệt hệ thống phanh khí nén.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/>
          <w:i w:val="0"/>
          <w:color w:val="282828"/>
          <w:sz w:val="26"/>
          <w:rFonts w:ascii="Times New Roman" w:hAnsi="Times New Roman" w:cs="Times New Roman"/>
        </w:rPr>
        <w:t xml:space="preserve">Thứ ba, an ninh mạng phương tiện (Cybersecurity): </w:t>
      </w: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CAN Bus không có cơ chế xác thực. Module camera ngoài kết nối vào CAN Bus có thể bị lợi dụng để phát tán gói tin giả gây mất lái.</w:t>
      </w:r>
    </w:p>
    <w:p>
      <w:pPr>
        <w:spacing w:before="200" w:after="80" w:line="288" w:lineRule="auto"/>
        <w:jc w:val="left"/>
      </w:pPr>
      <w:r>
        <w:rPr>
          <w:rFonts w:ascii="Times New Roman" w:hAnsi="Times New Roman"/>
          <w:b/>
          <w:i w:val="0"/>
          <w:color w:val="2980B9"/>
          <w:sz w:val="28"/>
          <w:rFonts w:ascii="Times New Roman" w:hAnsi="Times New Roman" w:cs="Times New Roman"/>
        </w:rPr>
        <w:t>1.2. Khai thác động học xe từ cụm cảm biến IMU 6-DOF + GPS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GPS/GNSS (10Hz): Đo vận tốc mặt đất v_ego (m/s) qua hiệu ứng Doppler (+/- 0.05 m/s), không bị sai số do trượt bánh xe.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IMU Gyroscope (100Hz): Đo tốc độ góc Yaw ω_z (rad/s) phát hiện xe bẻ lái rẽ cua tức thì trong vòng dưới 5 mili-giây.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IMU Accelerometer: Đo gia tốc dọc a_x (m/s²) phát hiện phanh khẩn cấp và gia tốc ngang a_y (lực ly tâm ôm cua).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Nhận diện thao tác rẽ cua độc lập: Khi |ω_z| &gt; 0.03 rad/s (khoảng 1.7°/s), hệ thống tự động xác định xe đang chuyển làn hoặc rẽ cua: ω_z &lt; -0.03 rad/s là rẽ phải, ω_z &gt; +0.03 rad/s là rẽ trái.</w:t>
      </w:r>
    </w:p>
    <w:p>
      <w:pPr>
        <w:spacing w:before="280" w:after="120" w:line="288" w:lineRule="auto"/>
        <w:jc w:val="left"/>
      </w:pPr>
      <w:r>
        <w:rPr>
          <w:rFonts w:ascii="Times New Roman" w:hAnsi="Times New Roman"/>
          <w:b/>
          <w:i w:val="0"/>
          <w:color w:val="1B365D"/>
          <w:sz w:val="32"/>
          <w:rFonts w:ascii="Times New Roman" w:hAnsi="Times New Roman" w:cs="Times New Roman"/>
        </w:rPr>
        <w:t>2. CƠ SỞ KHOA HỌC &amp; THIẾT KẾ GIẢI THUẬT THEO DÕI VẬT THỂ BYTETRACK</w:t>
      </w:r>
    </w:p>
    <w:p>
      <w:pPr>
        <w:spacing w:before="200" w:after="80" w:line="288" w:lineRule="auto"/>
        <w:jc w:val="left"/>
      </w:pPr>
      <w:r>
        <w:rPr>
          <w:rFonts w:ascii="Times New Roman" w:hAnsi="Times New Roman"/>
          <w:b/>
          <w:i w:val="0"/>
          <w:color w:val="2980B9"/>
          <w:sz w:val="28"/>
          <w:rFonts w:ascii="Times New Roman" w:hAnsi="Times New Roman" w:cs="Times New Roman"/>
        </w:rPr>
        <w:t>2.1. Phân định bản chất khoa học: MOT, ByteTrack và Kỹ thuật BYTE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Multi-Object Tracking (MOT): Là tên gọi toàn bộ bài toán theo dõi đa đối tượng từ video qua mô hình Tracking-by-Detection.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ByteTrack: Là thuật toán MOT cụ thể (ECCV 2022) kết hợp Kalman Filter và Hungarian Algorithm trên ma trận IoU.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BYTE Association: Là kỹ thuật ghép đôi 2 tầng độc quyền bên trong ByteTrack để cứu sống các box mờ (Low-score detections).</w:t>
      </w:r>
    </w:p>
    <w:p>
      <w:pPr>
        <w:spacing w:before="200" w:after="80" w:line="288" w:lineRule="auto"/>
        <w:jc w:val="left"/>
      </w:pPr>
      <w:r>
        <w:rPr>
          <w:rFonts w:ascii="Times New Roman" w:hAnsi="Times New Roman"/>
          <w:b/>
          <w:i w:val="0"/>
          <w:color w:val="2980B9"/>
          <w:sz w:val="28"/>
          <w:rFonts w:ascii="Times New Roman" w:hAnsi="Times New Roman" w:cs="Times New Roman"/>
        </w:rPr>
        <w:t>2.2. Mô hình chuyển động: Bộ lọc Kalman (Kalman Filter 8D)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/>
                <w:color w:val="141414"/>
                <w:sz w:val="26"/>
                <w:rFonts w:ascii="Times New Roman" w:hAnsi="Times New Roman" w:cs="Times New Roman"/>
              </w:rPr>
              <w:t>x = [ u,  v,  a,  h,  u_dot,  v_dot,  a_dot,  h_dot ]^T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 w:val="0"/>
                <w:i/>
                <w:color w:val="646464"/>
                <w:sz w:val="22"/>
                <w:rFonts w:ascii="Times New Roman" w:hAnsi="Times New Roman" w:cs="Times New Roman"/>
              </w:rPr>
              <w:t>(Công thức 2.1: Vector trạng thái 8D)</w:t>
            </w:r>
          </w:p>
        </w:tc>
      </w:tr>
    </w:tbl>
    <w:p>
      <w:pPr>
        <w:spacing w:before="0" w:after="80"/>
      </w:pP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Giải thích đại lượng bằng tiếng Việt: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u, v (pixels): Tọa độ tâm ngang và tâm dọc của bounding box trên ảnh.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a: Tỷ lệ khung hình a = w / h (chiều rộng chia chiều cao).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h (pixels): Chiều cao của bounding box.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u_dot, v_dot (pixels/frame): Vận tốc di chuyển của tâm box theo phương ngang và phương dọc.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a_dot (1/frame): Vận tốc biến thiên tỷ lệ khung hình.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h_dot (pixels/frame): Tốc độ giãn nở/thu hẹp chiều cao box (thể hiện xe tiến lại gần hoặc lùi ra xa).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/>
                <w:color w:val="141414"/>
                <w:sz w:val="26"/>
                <w:rFonts w:ascii="Times New Roman" w:hAnsi="Times New Roman" w:cs="Times New Roman"/>
              </w:rPr>
              <w:t>x_{k|k-1} = F * x_{k-1|k-1}</w:t>
              <w:br/>
              <w:t>P_{k|k-1} = F * P_{k-1|k-1} * F^T + Q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 w:val="0"/>
                <w:i/>
                <w:color w:val="646464"/>
                <w:sz w:val="22"/>
                <w:rFonts w:ascii="Times New Roman" w:hAnsi="Times New Roman" w:cs="Times New Roman"/>
              </w:rPr>
              <w:t>(Công thức 2.2: Hệ phương trình dự đoán Kalman)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/>
                <w:color w:val="141414"/>
                <w:sz w:val="26"/>
                <w:rFonts w:ascii="Times New Roman" w:hAnsi="Times New Roman" w:cs="Times New Roman"/>
              </w:rPr>
              <w:t>K_k = P_{k|k-1} * H^T * ( H * P_{k|k-1} * H^T + R )^{-1}</w:t>
              <w:br/>
              <w:t>x_{k|k} = x_{k|k-1} + K_k * ( z_k - H * x_{k|k-1} )</w:t>
              <w:br/>
              <w:t>P_{k|k} = ( I - K_k * H ) * P_{k|k-1}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 w:val="0"/>
                <w:i/>
                <w:color w:val="646464"/>
                <w:sz w:val="22"/>
                <w:rFonts w:ascii="Times New Roman" w:hAnsi="Times New Roman" w:cs="Times New Roman"/>
              </w:rPr>
              <w:t>(Công thức 2.3: Hệ phương trình cập nhật Kalman)</w:t>
            </w:r>
          </w:p>
        </w:tc>
      </w:tr>
    </w:tbl>
    <w:p>
      <w:pPr>
        <w:spacing w:before="0" w:after="80"/>
      </w:pPr>
    </w:p>
    <w:p>
      <w:pPr>
        <w:spacing w:before="200" w:after="80" w:line="288" w:lineRule="auto"/>
        <w:jc w:val="left"/>
      </w:pPr>
      <w:r>
        <w:rPr>
          <w:rFonts w:ascii="Times New Roman" w:hAnsi="Times New Roman"/>
          <w:b/>
          <w:i w:val="0"/>
          <w:color w:val="2980B9"/>
          <w:sz w:val="28"/>
          <w:rFonts w:ascii="Times New Roman" w:hAnsi="Times New Roman" w:cs="Times New Roman"/>
        </w:rPr>
        <w:t>2.3. Ma trận chi phí và Thuật toán tối ưu Hungary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/>
                <w:color w:val="141414"/>
                <w:sz w:val="26"/>
                <w:rFonts w:ascii="Times New Roman" w:hAnsi="Times New Roman" w:cs="Times New Roman"/>
              </w:rPr>
              <w:t>C_{i,j} = 1 - IoU( Box_i^{track},  Box_j^{det} )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 w:val="0"/>
                <w:i/>
                <w:color w:val="646464"/>
                <w:sz w:val="22"/>
                <w:rFonts w:ascii="Times New Roman" w:hAnsi="Times New Roman" w:cs="Times New Roman"/>
              </w:rPr>
              <w:t>(Công thức 2.4: Chi phí liên kết hình học)</w:t>
            </w:r>
          </w:p>
        </w:tc>
      </w:tr>
    </w:tbl>
    <w:p>
      <w:pPr>
        <w:spacing w:before="0" w:after="80"/>
      </w:pP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Thuật toán Hungary tìm phép gán cặp tối ưu toàn cục min Σ Σ C_{i,j} * X_{i,j} trong thời gian đa thức O(N³).</w:t>
      </w:r>
    </w:p>
    <w:p>
      <w:pPr>
        <w:spacing w:before="280" w:after="120" w:line="288" w:lineRule="auto"/>
        <w:jc w:val="left"/>
      </w:pPr>
      <w:r>
        <w:rPr>
          <w:rFonts w:ascii="Times New Roman" w:hAnsi="Times New Roman"/>
          <w:b/>
          <w:i w:val="0"/>
          <w:color w:val="1B365D"/>
          <w:sz w:val="32"/>
          <w:rFonts w:ascii="Times New Roman" w:hAnsi="Times New Roman" w:cs="Times New Roman"/>
        </w:rPr>
        <w:t>3. ĐỘNG CƠ TÍNH TOÁN RỦI RO ĐIỂM MÙ BSRI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/>
                <w:color w:val="141414"/>
                <w:sz w:val="26"/>
                <w:rFonts w:ascii="Times New Roman" w:hAnsi="Times New Roman" w:cs="Times New Roman"/>
              </w:rPr>
              <w:t>BSRI = min( 1.0,  [ w_s * S_spatial + w_t * S_temporal ] * W_vru * V_blind * M_ego )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 w:val="0"/>
                <w:i/>
                <w:color w:val="646464"/>
                <w:sz w:val="22"/>
                <w:rFonts w:ascii="Times New Roman" w:hAnsi="Times New Roman" w:cs="Times New Roman"/>
              </w:rPr>
              <w:t>(Công thức 3.1: Công thức BSRI tổng quát)</w:t>
            </w:r>
          </w:p>
        </w:tc>
      </w:tr>
    </w:tbl>
    <w:p>
      <w:pPr>
        <w:spacing w:before="0" w:after="80"/>
      </w:pP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Trong đó w_s = 0.45, w_t = 0.55. S_spatial là rủi ro không gian, S_temporal là rủi ro thời gian, W_vru là trọng số đối tượng yếu thế, V_blind là hệ số vùng mù vật lý, M_ego là hệ số khuếch đại thao tác xe chủ.</w:t>
      </w:r>
    </w:p>
    <w:p>
      <w:pPr>
        <w:spacing w:before="200" w:after="80" w:line="288" w:lineRule="auto"/>
        <w:jc w:val="left"/>
      </w:pPr>
      <w:r>
        <w:rPr>
          <w:rFonts w:ascii="Times New Roman" w:hAnsi="Times New Roman"/>
          <w:b/>
          <w:i w:val="0"/>
          <w:color w:val="2980B9"/>
          <w:sz w:val="28"/>
          <w:rFonts w:ascii="Times New Roman" w:hAnsi="Times New Roman" w:cs="Times New Roman"/>
        </w:rPr>
        <w:t>3.1. Điểm rủi ro không gian (S_spatial) &amp; Điểm rủi ro thời gian (S_temporal)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/>
                <w:color w:val="141414"/>
                <w:sz w:val="26"/>
                <w:rFonts w:ascii="Times New Roman" w:hAnsi="Times New Roman" w:cs="Times New Roman"/>
              </w:rPr>
              <w:t>S_spatial = 1.0  (nếu trong DHZ)  |  S_spatial = exp( - d_border / 2.5 )  (nếu ngoài DHZ)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 w:val="0"/>
                <w:i/>
                <w:color w:val="646464"/>
                <w:sz w:val="22"/>
                <w:rFonts w:ascii="Times New Roman" w:hAnsi="Times New Roman" w:cs="Times New Roman"/>
              </w:rPr>
              <w:t>(Công thức 3.2: Điểm rủi ro không gian)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/>
                <w:color w:val="141414"/>
                <w:sz w:val="26"/>
                <w:rFonts w:ascii="Times New Roman" w:hAnsi="Times New Roman" w:cs="Times New Roman"/>
              </w:rPr>
              <w:t>v_closing = - ( X_vcs * vel_x + Y_vcs * vel_y ) / r</w:t>
              <w:br/>
              <w:t>TTC = r / v_closing  (khi v_closing &gt; 0.15 m/s)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 w:val="0"/>
                <w:i/>
                <w:color w:val="646464"/>
                <w:sz w:val="22"/>
                <w:rFonts w:ascii="Times New Roman" w:hAnsi="Times New Roman" w:cs="Times New Roman"/>
              </w:rPr>
              <w:t>(Công thức 3.3: Vận tốc tiếp cận &amp; TTC)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/>
                <w:color w:val="141414"/>
                <w:sz w:val="26"/>
                <w:rFonts w:ascii="Times New Roman" w:hAnsi="Times New Roman" w:cs="Times New Roman"/>
              </w:rPr>
              <w:t>S_temporal = 1.0  (TTC ≤ 1.2s)</w:t>
              <w:br/>
              <w:t>S_temporal = 1.0 - 0.70 * (TTC - 1.2) / (3.5 - 1.2)  (1.2s &lt; TTC ≤ 3.5s)</w:t>
              <w:br/>
              <w:t>S_temporal = 0.30 * exp( - (TTC - 3.5) / 3.0 )  (TTC &gt; 3.5s)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 w:val="0"/>
                <w:i/>
                <w:color w:val="646464"/>
                <w:sz w:val="22"/>
                <w:rFonts w:ascii="Times New Roman" w:hAnsi="Times New Roman" w:cs="Times New Roman"/>
              </w:rPr>
              <w:t>(Công thức 3.4: Hàm chuẩn hóa ISO 15622)</w:t>
            </w:r>
          </w:p>
        </w:tc>
      </w:tr>
    </w:tbl>
    <w:p>
      <w:pPr>
        <w:spacing w:before="0" w:after="80"/>
      </w:pPr>
    </w:p>
    <w:p>
      <w:pPr>
        <w:spacing w:before="200" w:after="80" w:line="288" w:lineRule="auto"/>
        <w:jc w:val="left"/>
      </w:pPr>
      <w:r>
        <w:rPr>
          <w:rFonts w:ascii="Times New Roman" w:hAnsi="Times New Roman"/>
          <w:b/>
          <w:i w:val="0"/>
          <w:color w:val="2980B9"/>
          <w:sz w:val="28"/>
          <w:rFonts w:ascii="Times New Roman" w:hAnsi="Times New Roman" w:cs="Times New Roman"/>
        </w:rPr>
        <w:t>3.2. Trọng số đối tượng yếu thế W_vru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person: 1.00 | xe_keo: 0.92 | xich_lo: 0.88 | motorcycle: 0.85 | bicycle: 0.80 | car: 0.65 | bus: 0.65 | truck: 0.60.</w:t>
      </w:r>
    </w:p>
    <w:p>
      <w:pPr>
        <w:spacing w:before="200" w:after="80" w:line="288" w:lineRule="auto"/>
        <w:jc w:val="left"/>
      </w:pPr>
      <w:r>
        <w:rPr>
          <w:rFonts w:ascii="Times New Roman" w:hAnsi="Times New Roman"/>
          <w:b/>
          <w:i w:val="0"/>
          <w:color w:val="2980B9"/>
          <w:sz w:val="28"/>
          <w:rFonts w:ascii="Times New Roman" w:hAnsi="Times New Roman" w:cs="Times New Roman"/>
        </w:rPr>
        <w:t>3.3. Mở rộng kiến trúc: Hỗ trợ cả Xe đầu kéo rơ-moóc và Xe tải liền thân (Rigid Truck)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EBF5FB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0" w:space="0" w:color="2980B9"/>
              <w:top w:val="none"/>
              <w:right w:val="none"/>
              <w:bottom w:val="none"/>
            </w:tcBorders>
          </w:tcPr>
          <w:p>
            <w:pPr>
              <w:spacing w:before="40" w:after="60"/>
              <w:jc w:val="left"/>
            </w:pPr>
            <w:r>
              <w:rPr>
                <w:rFonts w:ascii="Times New Roman" w:hAnsi="Times New Roman"/>
                <w:b/>
                <w:i w:val="0"/>
                <w:color w:val="1B365D"/>
                <w:sz w:val="25"/>
                <w:rFonts w:ascii="Times New Roman" w:hAnsi="Times New Roman" w:cs="Times New Roman"/>
              </w:rPr>
              <w:t xml:space="preserve">📌 Căn Cứ Khoa Học Cho Xe Tải Liền Thân: </w:t>
            </w:r>
            <w:r>
              <w:rPr>
                <w:rFonts w:ascii="Times New Roman" w:hAnsi="Times New Roman"/>
                <w:b w:val="0"/>
                <w:i/>
                <w:color w:val="282828"/>
                <w:sz w:val="24"/>
                <w:rFonts w:ascii="Times New Roman" w:hAnsi="Times New Roman" w:cs="Times New Roman"/>
              </w:rPr>
              <w:t>Xe tải liền thân (Rigid Truck - như Chenglong H7 4 chân dài 10.2m) là trường hợp suy biến của mô hình tổng quát khi gamma = 0 và L_trailer = 0 (theo Rajamani, 2012). Không cần sáng tạo công thức mới, mà chỉ cần cấu hình hình học thân xe.</w:t>
            </w:r>
          </w:p>
        </w:tc>
      </w:tr>
    </w:tbl>
    <w:p>
      <w:pPr>
        <w:spacing w:before="0" w:after="80"/>
      </w:pP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1. Xác định Tâm hệ tọa độ xe (Tâm VCS):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Xe đầu kéo: Nằm tại tâm cụm trục sau của đầu kéo, trùng với vị trí MÂM XOAY.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Xe tải liền thân 3 chân, 4 chân: Nằm tại điểm chính giữa của cụm 2 trục sau gánh tải. Khoảng cách này được lấy trực tiếp từ Sổ Đăng Kiểm hoặc đo bằng thước dây trong 30 giây.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2. Thông số hình học cần nhập cho Xe tải liền thân: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length_front (X_front): Khoảng cách từ tâm trục sau đến cản trước (ví dụ 7.8m cho xe 10.2m).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length_rear (X_rear): Khoảng cách từ tâm trục sau đến cản sau thùng xe (ví dụ 2.4m).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width (W): Bề rộng thùng xe (mặc định 2.5m).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• wheelbase (L_wb): Chiều dài cơ sở từ trục lái trước đến tâm trục sau (dùng tính độ lấn cua khi rẽ).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3. Phép biến đổi Homography: GIỮ NGUYÊN 100%: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Ma trận Homography H chỉ phụ thuộc vào góc đặt camera và mặt phẳng tiếp đất. Không cần nhập độ cao camera hay góc nghiêng vì 8 hệ số của ma trận H đã tự động hấp thụ toàn bộ thông số này qua 4 cặp điểm mốc tiếp đất.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4. Đa giác Vùng Nguy Hiểm Động (DHZ) cho Xe tải liền thân theo chuẩn UNECE R151: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/>
                <w:color w:val="141414"/>
                <w:sz w:val="26"/>
                <w:rFonts w:ascii="Times New Roman" w:hAnsi="Times New Roman" w:cs="Times New Roman"/>
              </w:rPr>
              <w:t>Delta_offtracking = ( L_wb^2 * |omega_z| ) / ( 2 * v_ego )</w:t>
              <w:br/>
              <w:t>d_lateral = 3.0m + Delta_offtracking  (Mở rộng sườn phải khi rẽ phải)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 w:val="0"/>
                <w:i/>
                <w:color w:val="646464"/>
                <w:sz w:val="22"/>
                <w:rFonts w:ascii="Times New Roman" w:hAnsi="Times New Roman" w:cs="Times New Roman"/>
              </w:rPr>
              <w:t>(Công thức 3.5: Độ lấn cua sườn xe tải liền thân theo UNECE R151)</w:t>
            </w:r>
          </w:p>
        </w:tc>
      </w:tr>
    </w:tbl>
    <w:p>
      <w:pPr>
        <w:spacing w:before="0" w:after="80"/>
      </w:pPr>
    </w:p>
    <w:p>
      <w:pPr>
        <w:spacing w:before="280" w:after="120" w:line="288" w:lineRule="auto"/>
        <w:jc w:val="left"/>
      </w:pPr>
      <w:r>
        <w:rPr>
          <w:rFonts w:ascii="Times New Roman" w:hAnsi="Times New Roman"/>
          <w:b/>
          <w:i w:val="0"/>
          <w:color w:val="1B365D"/>
          <w:sz w:val="32"/>
          <w:rFonts w:ascii="Times New Roman" w:hAnsi="Times New Roman" w:cs="Times New Roman"/>
        </w:rPr>
        <w:t>4. PHÂN CẤP CẢNH BÁO ADAS &amp; THỰC NGHIỆM ĐÁNH GIÁ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Hệ thống phân cấp thành 4 mức cảnh báo: SAFE (BSRI &lt; 0.30), CAUTION (0.30 ≤ BSRI &lt; 0.55), WARNING (0.55 ≤ BSRI &lt; 0.80), CRITICAL (BSRI ≥ 0.80).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Tất cả 6/6 kịch bản kiểm thử (bao gồm cả xe đầu kéo rơ-moóc và xe tải liền thân 4 chân Chenglong H7) đều đạt 100% độ chính xác trong test_bsri.py.</w:t>
      </w:r>
    </w:p>
    <w:p>
      <w:pPr>
        <w:spacing w:before="280" w:after="120" w:line="288" w:lineRule="auto"/>
        <w:jc w:val="left"/>
      </w:pPr>
      <w:r>
        <w:rPr>
          <w:rFonts w:ascii="Times New Roman" w:hAnsi="Times New Roman"/>
          <w:b/>
          <w:i w:val="0"/>
          <w:color w:val="1B365D"/>
          <w:sz w:val="32"/>
          <w:rFonts w:ascii="Times New Roman" w:hAnsi="Times New Roman" w:cs="Times New Roman"/>
        </w:rPr>
        <w:t>5. KẾT LUẬN</w:t>
      </w:r>
    </w:p>
    <w:p>
      <w:pPr>
        <w:spacing w:before="0" w:after="120" w:line="288" w:lineRule="auto"/>
        <w:jc w:val="both"/>
      </w:pPr>
      <w:r>
        <w:rPr>
          <w:rFonts w:ascii="Times New Roman" w:hAnsi="Times New Roman"/>
          <w:b w:val="0"/>
          <w:i w:val="0"/>
          <w:color w:val="282828"/>
          <w:sz w:val="26"/>
          <w:rFonts w:ascii="Times New Roman" w:hAnsi="Times New Roman" w:cs="Times New Roman"/>
        </w:rPr>
        <w:t>Hệ thống BlindGuard AI hoàn thiện hai mục tiêu then chốt: (1) Theo dõi mượt mà đối tượng qua ByteTrack trên camera mắt cá; (2) Động cơ BSRI tính toán nguy cơ va chạm chuẩn xác cho cả xe đầu kéo và xe tải liền thân dựa hoàn toàn trên cụm cảm biến IMU + GPS độc lập, không can thiệp CAN Bus của xe.</w:t>
      </w:r>
    </w:p>
    <w:sectPr w:rsidR="00FC693F" w:rsidRPr="0006063C" w:rsidSect="00034616">
      <w:pgSz w:w="11909" w:h="16834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