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Times New Roman" w:hAnsi="Times New Roman"/>
          <w:b/>
          <w:color w:val="005F6E"/>
          <w:sz w:val="24"/>
        </w:rPr>
        <w:t>TỔNG CÔNG TY HÀNG KHÔNG VIỆT NAM - CTCP</w:t>
        <w:br/>
        <w:t>VIETNAM AIRLINES JSC</w:t>
      </w:r>
    </w:p>
    <w:p>
      <w:pPr>
        <w:spacing w:after="1200"/>
      </w:pPr>
      <w:r>
        <w:rPr>
          <w:rFonts w:ascii="Times New Roman" w:hAnsi="Times New Roman"/>
          <w:color w:val="9CA3AF"/>
          <w:sz w:val="20"/>
        </w:rPr>
        <w:t>——————————————— o0o ———————————————</w:t>
      </w:r>
    </w:p>
    <w:p>
      <w:pPr>
        <w:spacing w:before="600" w:after="240"/>
        <w:jc w:val="center"/>
      </w:pPr>
      <w:r>
        <w:rPr>
          <w:rFonts w:ascii="Times New Roman" w:hAnsi="Times New Roman"/>
          <w:b/>
          <w:color w:val="005F6E"/>
          <w:sz w:val="48"/>
        </w:rPr>
        <w:t>TÀI LIỆU HƯỚNG DẪN SỬ DỤNG</w:t>
      </w:r>
    </w:p>
    <w:p>
      <w:pPr>
        <w:spacing w:after="480"/>
        <w:jc w:val="center"/>
      </w:pPr>
      <w:r>
        <w:rPr>
          <w:rFonts w:ascii="Times New Roman" w:hAnsi="Times New Roman"/>
          <w:b/>
          <w:color w:val="1F2937"/>
          <w:sz w:val="28"/>
        </w:rPr>
        <w:t>HỆ THỐNG QUẢN TRỊ BÁO CÁO PHÁT TRIỂN BỀN VỮNG (ESG)</w:t>
        <w:br/>
        <w:t>[TÊN PHÂN HỆ / CHỨC NĂNG]</w:t>
      </w:r>
    </w:p>
    <w:p>
      <w:pPr>
        <w:spacing w:before="2000"/>
      </w:pPr>
    </w:p>
    <w:tbl>
      <w:tblPr>
        <w:tblW w:type="auto" w:w="0"/>
        <w:jc w:val="center"/>
        <w:tblLook w:firstColumn="1" w:firstRow="1" w:lastColumn="0" w:lastRow="0" w:noHBand="0" w:noVBand="1" w:val="04A0"/>
      </w:tblPr>
      <w:tblGrid>
        <w:gridCol w:w="4679"/>
        <w:gridCol w:w="4679"/>
      </w:tblGrid>
      <w:tr>
        <w:tc>
          <w:tcPr>
            <w:tcW w:type="dxa" w:w="28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color w:val="4B5563"/>
                <w:sz w:val="22"/>
              </w:rPr>
              <w:t>Mã tài liệu:</w:t>
            </w:r>
          </w:p>
        </w:tc>
        <w:tc>
          <w:tcPr>
            <w:tcW w:type="dxa" w:w="64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val="0"/>
                <w:color w:val="111827"/>
                <w:sz w:val="22"/>
              </w:rPr>
              <w:t>VNA-ESG-HDSD-[MÃ_PHÂN_HỆ]</w:t>
            </w:r>
          </w:p>
        </w:tc>
      </w:tr>
      <w:tr>
        <w:tc>
          <w:tcPr>
            <w:tcW w:type="dxa" w:w="28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color w:val="4B5563"/>
                <w:sz w:val="22"/>
              </w:rPr>
              <w:t>Phiên bản:</w:t>
            </w:r>
          </w:p>
        </w:tc>
        <w:tc>
          <w:tcPr>
            <w:tcW w:type="dxa" w:w="64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val="0"/>
                <w:color w:val="111827"/>
                <w:sz w:val="22"/>
              </w:rPr>
              <w:t>3.0 (Cập nhật hệ thống mới nhất)</w:t>
            </w:r>
          </w:p>
        </w:tc>
      </w:tr>
      <w:tr>
        <w:tc>
          <w:tcPr>
            <w:tcW w:type="dxa" w:w="28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color w:val="4B5563"/>
                <w:sz w:val="22"/>
              </w:rPr>
              <w:t>Ngày ban hành:</w:t>
            </w:r>
          </w:p>
        </w:tc>
        <w:tc>
          <w:tcPr>
            <w:tcW w:type="dxa" w:w="64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val="0"/>
                <w:color w:val="111827"/>
                <w:sz w:val="22"/>
              </w:rPr>
              <w:t>01/10/2026</w:t>
            </w:r>
          </w:p>
        </w:tc>
      </w:tr>
      <w:tr>
        <w:tc>
          <w:tcPr>
            <w:tcW w:type="dxa" w:w="28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color w:val="4B5563"/>
                <w:sz w:val="22"/>
              </w:rPr>
              <w:t>Đơn vị chủ trì:</w:t>
            </w:r>
          </w:p>
        </w:tc>
        <w:tc>
          <w:tcPr>
            <w:tcW w:type="dxa" w:w="64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val="0"/>
                <w:color w:val="111827"/>
                <w:sz w:val="22"/>
              </w:rPr>
              <w:t>Ban Kế hoạch Phát triển &amp; Ban Chuyển đổi số &amp; CNTT</w:t>
            </w:r>
          </w:p>
        </w:tc>
      </w:tr>
      <w:tr>
        <w:tc>
          <w:tcPr>
            <w:tcW w:type="dxa" w:w="28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color w:val="4B5563"/>
                <w:sz w:val="22"/>
              </w:rPr>
              <w:t>Phạm vi áp dụng:</w:t>
            </w:r>
          </w:p>
        </w:tc>
        <w:tc>
          <w:tcPr>
            <w:tcW w:type="dxa" w:w="6480"/>
            <w:tcMar>
              <w:top w:w="80" w:type="dxa"/>
              <w:bottom w:w="80" w:type="dxa"/>
              <w:left w:w="100" w:type="dxa"/>
              <w:right w:w="100" w:type="dxa"/>
            </w:tcMar>
            <w:tcBorders>
              <w:top w:val="single" w:sz="4" w:space="0" w:color="E5E7EB"/>
              <w:bottom w:val="single" w:sz="4" w:space="0" w:color="E5E7EB"/>
              <w:left w:val="none"/>
              <w:right w:val="none"/>
            </w:tcBorders>
          </w:tcPr>
          <w:p>
            <w:pPr>
              <w:spacing w:after="0"/>
            </w:pPr>
            <w:r>
              <w:rPr>
                <w:rFonts w:ascii="Times New Roman" w:hAnsi="Times New Roman"/>
                <w:b w:val="0"/>
                <w:color w:val="111827"/>
                <w:sz w:val="22"/>
              </w:rPr>
              <w:t>Toàn bộ các Tổ ban &amp; Đơn vị trực thuộc Vietnam Airlines</w:t>
            </w:r>
          </w:p>
        </w:tc>
      </w:tr>
    </w:tbl>
    <w:p>
      <w:r>
        <w:br w:type="page"/>
      </w:r>
    </w:p>
    <w:p>
      <w:pPr>
        <w:spacing w:before="240" w:after="240"/>
      </w:pPr>
      <w:r>
        <w:rPr>
          <w:rFonts w:ascii="Times New Roman" w:hAnsi="Times New Roman"/>
          <w:b/>
          <w:color w:val="005F6E"/>
          <w:sz w:val="32"/>
        </w:rPr>
        <w:t>MỤC LỤC</w:t>
      </w:r>
    </w:p>
    <w:p>
      <w:pPr>
        <w:spacing w:after="80" w:line="276" w:lineRule="auto"/>
      </w:pPr>
      <w:r>
        <w:rPr>
          <w:rFonts w:ascii="Times New Roman" w:hAnsi="Times New Roman"/>
          <w:b/>
          <w:color w:val="005F6E"/>
          <w:sz w:val="22"/>
        </w:rPr>
        <w:t>1. GIỚI THIỆU CHUNG</w:t>
      </w:r>
      <w:r>
        <w:t xml:space="preserve"> .............................................. </w:t>
      </w:r>
      <w:r>
        <w:rPr>
          <w:rFonts w:ascii="Times New Roman" w:hAnsi="Times New Roman"/>
          <w:i/>
          <w:color w:val="6B7280"/>
          <w:sz w:val="21"/>
        </w:rPr>
        <w:t>Trang 3</w:t>
      </w:r>
    </w:p>
    <w:p>
      <w:pPr>
        <w:spacing w:after="80" w:line="276" w:lineRule="auto"/>
      </w:pPr>
      <w:r>
        <w:rPr>
          <w:rFonts w:ascii="Times New Roman" w:hAnsi="Times New Roman"/>
          <w:color w:val="374151"/>
          <w:sz w:val="22"/>
        </w:rPr>
        <w:t xml:space="preserve">   1.1. Mục đích và phạm vi áp dụng</w:t>
      </w:r>
      <w:r>
        <w:t xml:space="preserve"> .............................. </w:t>
      </w:r>
      <w:r>
        <w:rPr>
          <w:rFonts w:ascii="Times New Roman" w:hAnsi="Times New Roman"/>
          <w:i/>
          <w:color w:val="6B7280"/>
          <w:sz w:val="21"/>
        </w:rPr>
        <w:t>Trang 3</w:t>
      </w:r>
    </w:p>
    <w:p>
      <w:pPr>
        <w:spacing w:after="80" w:line="276" w:lineRule="auto"/>
      </w:pPr>
      <w:r>
        <w:rPr>
          <w:rFonts w:ascii="Times New Roman" w:hAnsi="Times New Roman"/>
          <w:color w:val="374151"/>
          <w:sz w:val="22"/>
        </w:rPr>
        <w:t xml:space="preserve">   1.2. Đối tượng sử dụng và phân quyền</w:t>
      </w:r>
      <w:r>
        <w:t xml:space="preserve"> .......................... </w:t>
      </w:r>
      <w:r>
        <w:rPr>
          <w:rFonts w:ascii="Times New Roman" w:hAnsi="Times New Roman"/>
          <w:i/>
          <w:color w:val="6B7280"/>
          <w:sz w:val="21"/>
        </w:rPr>
        <w:t>Trang 3</w:t>
      </w:r>
    </w:p>
    <w:p>
      <w:pPr>
        <w:spacing w:after="80" w:line="276" w:lineRule="auto"/>
      </w:pPr>
      <w:r>
        <w:rPr>
          <w:rFonts w:ascii="Times New Roman" w:hAnsi="Times New Roman"/>
          <w:color w:val="374151"/>
          <w:sz w:val="22"/>
        </w:rPr>
        <w:t xml:space="preserve">   1.3. Bảng giải thích thuật ngữ chuyên ngành</w:t>
      </w:r>
      <w:r>
        <w:t xml:space="preserve"> ................... </w:t>
      </w:r>
      <w:r>
        <w:rPr>
          <w:rFonts w:ascii="Times New Roman" w:hAnsi="Times New Roman"/>
          <w:i/>
          <w:color w:val="6B7280"/>
          <w:sz w:val="21"/>
        </w:rPr>
        <w:t>Trang 4</w:t>
      </w:r>
    </w:p>
    <w:p>
      <w:pPr>
        <w:spacing w:after="80" w:line="276" w:lineRule="auto"/>
      </w:pPr>
      <w:r>
        <w:rPr>
          <w:rFonts w:ascii="Times New Roman" w:hAnsi="Times New Roman"/>
          <w:b/>
          <w:color w:val="005F6E"/>
          <w:sz w:val="22"/>
        </w:rPr>
        <w:t>2. QUY TRÌNH NGHIỆP VỤ TỔNG QUAN</w:t>
      </w:r>
      <w:r>
        <w:t xml:space="preserve"> ................................. </w:t>
      </w:r>
      <w:r>
        <w:rPr>
          <w:rFonts w:ascii="Times New Roman" w:hAnsi="Times New Roman"/>
          <w:i/>
          <w:color w:val="6B7280"/>
          <w:sz w:val="21"/>
        </w:rPr>
        <w:t>Trang 5</w:t>
      </w:r>
    </w:p>
    <w:p>
      <w:pPr>
        <w:spacing w:after="80" w:line="276" w:lineRule="auto"/>
      </w:pPr>
      <w:r>
        <w:rPr>
          <w:rFonts w:ascii="Times New Roman" w:hAnsi="Times New Roman"/>
          <w:b/>
          <w:color w:val="005F6E"/>
          <w:sz w:val="22"/>
        </w:rPr>
        <w:t>3. HƯỚNG DẪN CHI TIẾT THAO TÁC TRÊN GIAO DIỆN</w:t>
      </w:r>
      <w:r>
        <w:t xml:space="preserve"> .................... </w:t>
      </w:r>
      <w:r>
        <w:rPr>
          <w:rFonts w:ascii="Times New Roman" w:hAnsi="Times New Roman"/>
          <w:i/>
          <w:color w:val="6B7280"/>
          <w:sz w:val="21"/>
        </w:rPr>
        <w:t>Trang 6</w:t>
      </w:r>
    </w:p>
    <w:p>
      <w:pPr>
        <w:spacing w:after="80" w:line="276" w:lineRule="auto"/>
      </w:pPr>
      <w:r>
        <w:rPr>
          <w:rFonts w:ascii="Times New Roman" w:hAnsi="Times New Roman"/>
          <w:color w:val="374151"/>
          <w:sz w:val="22"/>
        </w:rPr>
        <w:t xml:space="preserve">   3.1. Truy cập chức năng và thanh công cụ đầu trang</w:t>
      </w:r>
      <w:r>
        <w:t xml:space="preserve"> ............ </w:t>
      </w:r>
      <w:r>
        <w:rPr>
          <w:rFonts w:ascii="Times New Roman" w:hAnsi="Times New Roman"/>
          <w:i/>
          <w:color w:val="6B7280"/>
          <w:sz w:val="21"/>
        </w:rPr>
        <w:t>Trang 6</w:t>
      </w:r>
    </w:p>
    <w:p>
      <w:pPr>
        <w:spacing w:after="80" w:line="276" w:lineRule="auto"/>
      </w:pPr>
      <w:r>
        <w:rPr>
          <w:rFonts w:ascii="Times New Roman" w:hAnsi="Times New Roman"/>
          <w:color w:val="374151"/>
          <w:sz w:val="22"/>
        </w:rPr>
        <w:t xml:space="preserve">   3.2. Cấu hình tham số và quản lý dữ liệu</w:t>
      </w:r>
      <w:r>
        <w:t xml:space="preserve"> ...................... </w:t>
      </w:r>
      <w:r>
        <w:rPr>
          <w:rFonts w:ascii="Times New Roman" w:hAnsi="Times New Roman"/>
          <w:i/>
          <w:color w:val="6B7280"/>
          <w:sz w:val="21"/>
        </w:rPr>
        <w:t>Trang 7</w:t>
      </w:r>
    </w:p>
    <w:p>
      <w:pPr>
        <w:spacing w:after="80" w:line="276" w:lineRule="auto"/>
      </w:pPr>
      <w:r>
        <w:rPr>
          <w:rFonts w:ascii="Times New Roman" w:hAnsi="Times New Roman"/>
          <w:color w:val="374151"/>
          <w:sz w:val="22"/>
        </w:rPr>
        <w:t xml:space="preserve">   3.3. Các thao tác nghiệp vụ chính (Thêm, Sửa, Lọc, Xuất)</w:t>
      </w:r>
      <w:r>
        <w:t xml:space="preserve"> .......... </w:t>
      </w:r>
      <w:r>
        <w:rPr>
          <w:rFonts w:ascii="Times New Roman" w:hAnsi="Times New Roman"/>
          <w:i/>
          <w:color w:val="6B7280"/>
          <w:sz w:val="21"/>
        </w:rPr>
        <w:t>Trang 9</w:t>
      </w:r>
    </w:p>
    <w:p>
      <w:pPr>
        <w:spacing w:after="80" w:line="276" w:lineRule="auto"/>
      </w:pPr>
      <w:r>
        <w:rPr>
          <w:rFonts w:ascii="Times New Roman" w:hAnsi="Times New Roman"/>
          <w:color w:val="374151"/>
          <w:sz w:val="22"/>
        </w:rPr>
        <w:t xml:space="preserve">   3.4. Đánh giá chỉ số tổng hợp và lưu kịch bản</w:t>
      </w:r>
      <w:r>
        <w:t xml:space="preserve"> ................. </w:t>
      </w:r>
      <w:r>
        <w:rPr>
          <w:rFonts w:ascii="Times New Roman" w:hAnsi="Times New Roman"/>
          <w:i/>
          <w:color w:val="6B7280"/>
          <w:sz w:val="21"/>
        </w:rPr>
        <w:t>Trang 11</w:t>
      </w:r>
    </w:p>
    <w:p>
      <w:pPr>
        <w:spacing w:after="80" w:line="276" w:lineRule="auto"/>
      </w:pPr>
      <w:r>
        <w:rPr>
          <w:rFonts w:ascii="Times New Roman" w:hAnsi="Times New Roman"/>
          <w:b/>
          <w:color w:val="005F6E"/>
          <w:sz w:val="22"/>
        </w:rPr>
        <w:t>4. QUY TẮC NGHIỆP VỤ &amp; LƯU Ý QUAN TRỌNG</w:t>
      </w:r>
      <w:r>
        <w:t xml:space="preserve"> .......................... </w:t>
      </w:r>
      <w:r>
        <w:rPr>
          <w:rFonts w:ascii="Times New Roman" w:hAnsi="Times New Roman"/>
          <w:i/>
          <w:color w:val="6B7280"/>
          <w:sz w:val="21"/>
        </w:rPr>
        <w:t>Trang 13</w:t>
      </w:r>
    </w:p>
    <w:p>
      <w:r>
        <w:br w:type="page"/>
      </w:r>
    </w:p>
    <w:p>
      <w:pPr>
        <w:keepNext/>
        <w:spacing w:before="360" w:after="160"/>
      </w:pPr>
      <w:r>
        <w:rPr>
          <w:rFonts w:ascii="Times New Roman" w:hAnsi="Times New Roman"/>
          <w:b/>
          <w:color w:val="005F6E"/>
          <w:sz w:val="30"/>
        </w:rPr>
        <w:t>1. HƯỚNG DẪN MẪU ĐỊNH DẠNG (STYLE GUIDE &amp; TEMPLATE SPEC)</w:t>
      </w:r>
    </w:p>
    <w:p>
      <w:pPr>
        <w:spacing w:after="120" w:line="276" w:lineRule="auto"/>
      </w:pPr>
      <w:r>
        <w:rPr>
          <w:rFonts w:ascii="Times New Roman" w:hAnsi="Times New Roman"/>
          <w:color w:val="1F2937"/>
          <w:sz w:val="23"/>
        </w:rPr>
        <w:t>Tài liệu này là mẫu chuẩn (Template) dùng để biên soạn Hướng dẫn sử dụng cho các phân hệ của Hệ thống Quản trị &amp; Báo cáo Phát triển Bền vững (ESG) Vietnam Airlines. Mọi văn bản biên soạn mới hoặc cập nhật cần tuân thủ đúng hệ thống cấp bậc đề mục, màu sắc, font chữ và kiểu bảng biểu được định nghĩa dưới đây.</w:t>
      </w:r>
    </w:p>
    <w:p>
      <w:pPr>
        <w:keepNext/>
        <w:spacing w:before="240" w:after="120"/>
      </w:pPr>
      <w:r>
        <w:rPr>
          <w:rFonts w:ascii="Times New Roman" w:hAnsi="Times New Roman"/>
          <w:b/>
          <w:color w:val="0284C7"/>
          <w:sz w:val="26"/>
        </w:rPr>
        <w:t>1.1. Quy chuẩn Font chữ &amp; Cấp bậc Tiêu đề (Typography)</w:t>
      </w:r>
    </w:p>
    <w:p>
      <w:pPr>
        <w:pStyle w:val="ListBullet"/>
        <w:spacing w:after="60" w:line="276" w:lineRule="auto"/>
      </w:pPr>
      <w:r>
        <w:rPr>
          <w:rFonts w:ascii="Times New Roman" w:hAnsi="Times New Roman"/>
          <w:b/>
          <w:color w:val="111827"/>
          <w:sz w:val="23"/>
        </w:rPr>
        <w:t xml:space="preserve">Font chữ chuẩn: </w:t>
      </w:r>
      <w:r>
        <w:rPr>
          <w:rFonts w:ascii="Times New Roman" w:hAnsi="Times New Roman"/>
          <w:color w:val="374151"/>
          <w:sz w:val="23"/>
        </w:rPr>
        <w:t>Font chính sử dụng thống nhất trên toàn bộ tài liệu là Times New Roman, đảm bảo tính chuẩn mực văn bản của Tổng công ty.</w:t>
      </w:r>
    </w:p>
    <w:p>
      <w:pPr>
        <w:pStyle w:val="ListBullet"/>
        <w:spacing w:after="60" w:line="276" w:lineRule="auto"/>
      </w:pPr>
      <w:r>
        <w:rPr>
          <w:rFonts w:ascii="Times New Roman" w:hAnsi="Times New Roman"/>
          <w:b/>
          <w:color w:val="111827"/>
          <w:sz w:val="23"/>
        </w:rPr>
        <w:t xml:space="preserve">Heading 1 (Tiêu đề cấp 1): </w:t>
      </w:r>
      <w:r>
        <w:rPr>
          <w:rFonts w:ascii="Times New Roman" w:hAnsi="Times New Roman"/>
          <w:color w:val="374151"/>
          <w:sz w:val="23"/>
        </w:rPr>
        <w:t>Cỡ chữ 15-16pt, In đậm, Màu xanh Deep Teal VNA (#005F6E). Dùng cho các chương lớn (1., 2., 3...).</w:t>
      </w:r>
    </w:p>
    <w:p>
      <w:pPr>
        <w:pStyle w:val="ListBullet"/>
        <w:spacing w:after="60" w:line="276" w:lineRule="auto"/>
      </w:pPr>
      <w:r>
        <w:rPr>
          <w:rFonts w:ascii="Times New Roman" w:hAnsi="Times New Roman"/>
          <w:b/>
          <w:color w:val="111827"/>
          <w:sz w:val="23"/>
        </w:rPr>
        <w:t xml:space="preserve">Heading 2 (Tiêu đề cấp 2): </w:t>
      </w:r>
      <w:r>
        <w:rPr>
          <w:rFonts w:ascii="Times New Roman" w:hAnsi="Times New Roman"/>
          <w:color w:val="374151"/>
          <w:sz w:val="23"/>
        </w:rPr>
        <w:t>Cỡ chữ 13pt, In đậm, Màu xanh Sky (#0284C7). Dùng cho các mục con cấp 2 (1.1, 1.2...).</w:t>
      </w:r>
    </w:p>
    <w:p>
      <w:pPr>
        <w:pStyle w:val="ListBullet"/>
        <w:spacing w:after="60" w:line="276" w:lineRule="auto"/>
      </w:pPr>
      <w:r>
        <w:rPr>
          <w:rFonts w:ascii="Times New Roman" w:hAnsi="Times New Roman"/>
          <w:b/>
          <w:color w:val="111827"/>
          <w:sz w:val="23"/>
        </w:rPr>
        <w:t xml:space="preserve">Heading 3 (Tiêu đề cấp 3): </w:t>
      </w:r>
      <w:r>
        <w:rPr>
          <w:rFonts w:ascii="Times New Roman" w:hAnsi="Times New Roman"/>
          <w:color w:val="374151"/>
          <w:sz w:val="23"/>
        </w:rPr>
        <w:t>Cỡ chữ 12pt, In đậm, Màu xanh Navy (#1F4D78). Dùng cho các nhóm thao tác con (1.1.1, 1.1.2...).</w:t>
      </w:r>
    </w:p>
    <w:p>
      <w:pPr>
        <w:pStyle w:val="ListBullet"/>
        <w:spacing w:after="60" w:line="276" w:lineRule="auto"/>
      </w:pPr>
      <w:r>
        <w:rPr>
          <w:rFonts w:ascii="Times New Roman" w:hAnsi="Times New Roman"/>
          <w:b/>
          <w:color w:val="111827"/>
          <w:sz w:val="23"/>
        </w:rPr>
        <w:t xml:space="preserve">Nội dung thường (Body): </w:t>
      </w:r>
      <w:r>
        <w:rPr>
          <w:rFonts w:ascii="Times New Roman" w:hAnsi="Times New Roman"/>
          <w:color w:val="374151"/>
          <w:sz w:val="23"/>
        </w:rPr>
        <w:t>Cỡ chữ 11.5 - 12pt, Regular, Màu xám đậm (#1F2937), Giãn dòng 1.15, Khoảng cách sau 4-6pt.</w:t>
      </w:r>
    </w:p>
    <w:p>
      <w:pPr>
        <w:keepNext/>
        <w:spacing w:before="240" w:after="120"/>
      </w:pPr>
      <w:r>
        <w:rPr>
          <w:rFonts w:ascii="Times New Roman" w:hAnsi="Times New Roman"/>
          <w:b/>
          <w:color w:val="0284C7"/>
          <w:sz w:val="26"/>
        </w:rPr>
        <w:t>1.2. Mẫu Bảng Biểu Chuẩn (Table Style)</w:t>
      </w:r>
    </w:p>
    <w:p>
      <w:pPr>
        <w:spacing w:after="120" w:line="276" w:lineRule="auto"/>
      </w:pPr>
      <w:r>
        <w:rPr>
          <w:rFonts w:ascii="Times New Roman" w:hAnsi="Times New Roman"/>
          <w:color w:val="1F2937"/>
          <w:sz w:val="23"/>
        </w:rPr>
        <w:t>Bảng biểu trong tài liệu cần có hàng tiêu đề nổi bật với nền màu xanh VNA hoặc xanh nhạt, viền mảnh màu xám nhạt (#D1D5DB) và khoảng cách đệm ô chuẩn.</w:t>
      </w:r>
    </w:p>
    <w:tbl>
      <w:tblPr>
        <w:tblW w:type="auto" w:w="0"/>
        <w:jc w:val="center"/>
        <w:tblLook w:firstColumn="1" w:firstRow="1" w:lastColumn="0" w:lastRow="0" w:noHBand="0" w:noVBand="1" w:val="04A0"/>
      </w:tblPr>
      <w:tblGrid>
        <w:gridCol w:w="3119"/>
        <w:gridCol w:w="3119"/>
        <w:gridCol w:w="3119"/>
      </w:tblGrid>
      <w:tr>
        <w:tc>
          <w:tcPr>
            <w:tcW w:type="dxa" w:w="1728"/>
            <w:shd w:fill="005F6E"/>
            <w:tcMar>
              <w:top w:w="100" w:type="dxa"/>
              <w:bottom w:w="100" w:type="dxa"/>
              <w:left w:w="140" w:type="dxa"/>
              <w:right w:w="140" w:type="dxa"/>
            </w:tcMar>
            <w:tcBorders>
              <w:top w:val="single" w:sz="4" w:space="0" w:color="005F6E"/>
              <w:bottom w:val="single" w:sz="4" w:space="0" w:color="005F6E"/>
              <w:left w:val="single" w:sz="4" w:space="0" w:color="005F6E"/>
              <w:right w:val="single" w:sz="4" w:space="0" w:color="005F6E"/>
            </w:tcBorders>
          </w:tcPr>
          <w:p>
            <w:pPr>
              <w:jc w:val="center"/>
            </w:pPr>
            <w:r>
              <w:rPr>
                <w:rFonts w:ascii="Times New Roman" w:hAnsi="Times New Roman"/>
                <w:b/>
                <w:color w:val="FFFFFF"/>
                <w:sz w:val="22"/>
              </w:rPr>
              <w:t>Mã Cột</w:t>
            </w:r>
          </w:p>
        </w:tc>
        <w:tc>
          <w:tcPr>
            <w:tcW w:type="dxa" w:w="2880"/>
            <w:shd w:fill="005F6E"/>
            <w:tcMar>
              <w:top w:w="100" w:type="dxa"/>
              <w:bottom w:w="100" w:type="dxa"/>
              <w:left w:w="140" w:type="dxa"/>
              <w:right w:w="140" w:type="dxa"/>
            </w:tcMar>
            <w:tcBorders>
              <w:top w:val="single" w:sz="4" w:space="0" w:color="005F6E"/>
              <w:bottom w:val="single" w:sz="4" w:space="0" w:color="005F6E"/>
              <w:left w:val="single" w:sz="4" w:space="0" w:color="005F6E"/>
              <w:right w:val="single" w:sz="4" w:space="0" w:color="005F6E"/>
            </w:tcBorders>
          </w:tcPr>
          <w:p>
            <w:pPr>
              <w:jc w:val="center"/>
            </w:pPr>
            <w:r>
              <w:rPr>
                <w:rFonts w:ascii="Times New Roman" w:hAnsi="Times New Roman"/>
                <w:b/>
                <w:color w:val="FFFFFF"/>
                <w:sz w:val="22"/>
              </w:rPr>
              <w:t>Tên Hiển Thị</w:t>
            </w:r>
          </w:p>
        </w:tc>
        <w:tc>
          <w:tcPr>
            <w:tcW w:type="dxa" w:w="4752"/>
            <w:shd w:fill="005F6E"/>
            <w:tcMar>
              <w:top w:w="100" w:type="dxa"/>
              <w:bottom w:w="100" w:type="dxa"/>
              <w:left w:w="140" w:type="dxa"/>
              <w:right w:w="140" w:type="dxa"/>
            </w:tcMar>
            <w:tcBorders>
              <w:top w:val="single" w:sz="4" w:space="0" w:color="005F6E"/>
              <w:bottom w:val="single" w:sz="4" w:space="0" w:color="005F6E"/>
              <w:left w:val="single" w:sz="4" w:space="0" w:color="005F6E"/>
              <w:right w:val="single" w:sz="4" w:space="0" w:color="005F6E"/>
            </w:tcBorders>
          </w:tcPr>
          <w:p>
            <w:pPr>
              <w:jc w:val="center"/>
            </w:pPr>
            <w:r>
              <w:rPr>
                <w:rFonts w:ascii="Times New Roman" w:hAnsi="Times New Roman"/>
                <w:b/>
                <w:color w:val="FFFFFF"/>
                <w:sz w:val="22"/>
              </w:rPr>
              <w:t>Mô Tả &amp; Quy Tắc Nghiệp Vụ</w:t>
            </w:r>
          </w:p>
        </w:tc>
      </w:tr>
      <w:tr>
        <w:tc>
          <w:tcPr>
            <w:tcW w:type="dxa" w:w="1728"/>
            <w:shd w:fill="F9FAFB"/>
            <w:tcMar>
              <w:top w:w="80" w:type="dxa"/>
              <w:bottom w:w="80" w:type="dxa"/>
              <w:left w:w="120" w:type="dxa"/>
              <w:right w:w="120" w:type="dxa"/>
            </w:tcMar>
            <w:tcBorders>
              <w:top w:val="single" w:sz="4" w:space="0" w:color="E5E7EB"/>
              <w:bottom w:val="single" w:sz="4" w:space="0" w:color="E5E7EB"/>
              <w:left w:val="single" w:sz="4" w:space="0" w:color="E5E7EB"/>
              <w:right w:val="single" w:sz="4" w:space="0" w:color="E5E7EB"/>
            </w:tcBorders>
          </w:tcPr>
          <w:p>
            <w:pPr>
              <w:spacing w:after="0"/>
              <w:jc w:val="center"/>
            </w:pPr>
            <w:r>
              <w:rPr>
                <w:rFonts w:ascii="Times New Roman" w:hAnsi="Times New Roman"/>
                <w:b/>
                <w:color w:val="005F6E"/>
                <w:sz w:val="21"/>
              </w:rPr>
              <w:t>BATCH No</w:t>
            </w:r>
          </w:p>
        </w:tc>
        <w:tc>
          <w:tcPr>
            <w:tcW w:type="dxa" w:w="2880"/>
            <w:shd w:fill="F9FAFB"/>
            <w:tcMar>
              <w:top w:w="80" w:type="dxa"/>
              <w:bottom w:w="80" w:type="dxa"/>
              <w:left w:w="120" w:type="dxa"/>
              <w:right w:w="120" w:type="dxa"/>
            </w:tcMar>
            <w:tcBorders>
              <w:top w:val="single" w:sz="4" w:space="0" w:color="E5E7EB"/>
              <w:bottom w:val="single" w:sz="4" w:space="0" w:color="E5E7EB"/>
              <w:left w:val="single" w:sz="4" w:space="0" w:color="E5E7EB"/>
              <w:right w:val="single" w:sz="4" w:space="0" w:color="E5E7EB"/>
            </w:tcBorders>
          </w:tcPr>
          <w:p>
            <w:pPr>
              <w:spacing w:after="0"/>
            </w:pPr>
            <w:r>
              <w:rPr>
                <w:rFonts w:ascii="Times New Roman" w:hAnsi="Times New Roman"/>
                <w:color w:val="1F2937"/>
                <w:sz w:val="21"/>
              </w:rPr>
              <w:t>Mã lô SAF</w:t>
            </w:r>
          </w:p>
        </w:tc>
        <w:tc>
          <w:tcPr>
            <w:tcW w:type="dxa" w:w="4752"/>
            <w:shd w:fill="F9FAFB"/>
            <w:tcMar>
              <w:top w:w="80" w:type="dxa"/>
              <w:bottom w:w="80" w:type="dxa"/>
              <w:left w:w="120" w:type="dxa"/>
              <w:right w:w="120" w:type="dxa"/>
            </w:tcMar>
            <w:tcBorders>
              <w:top w:val="single" w:sz="4" w:space="0" w:color="E5E7EB"/>
              <w:bottom w:val="single" w:sz="4" w:space="0" w:color="E5E7EB"/>
              <w:left w:val="single" w:sz="4" w:space="0" w:color="E5E7EB"/>
              <w:right w:val="single" w:sz="4" w:space="0" w:color="E5E7EB"/>
            </w:tcBorders>
          </w:tcPr>
          <w:p>
            <w:pPr>
              <w:spacing w:after="0"/>
            </w:pPr>
            <w:r>
              <w:rPr>
                <w:rFonts w:ascii="Times New Roman" w:hAnsi="Times New Roman"/>
                <w:color w:val="1F2937"/>
                <w:sz w:val="21"/>
              </w:rPr>
              <w:t>Mã định danh lô nhiên liệu bền vững do nhà cung cấp cấp chứng chỉ.</w:t>
            </w:r>
          </w:p>
        </w:tc>
      </w:tr>
      <w:tr>
        <w:tc>
          <w:tcPr>
            <w:tcW w:type="dxa" w:w="1728"/>
            <w:shd w:fill="FFFFFF"/>
            <w:tcMar>
              <w:top w:w="80" w:type="dxa"/>
              <w:bottom w:w="80" w:type="dxa"/>
              <w:left w:w="120" w:type="dxa"/>
              <w:right w:w="120" w:type="dxa"/>
            </w:tcMar>
            <w:tcBorders>
              <w:top w:val="single" w:sz="4" w:space="0" w:color="E5E7EB"/>
              <w:bottom w:val="single" w:sz="4" w:space="0" w:color="E5E7EB"/>
              <w:left w:val="single" w:sz="4" w:space="0" w:color="E5E7EB"/>
              <w:right w:val="single" w:sz="4" w:space="0" w:color="E5E7EB"/>
            </w:tcBorders>
          </w:tcPr>
          <w:p>
            <w:pPr>
              <w:spacing w:after="0"/>
              <w:jc w:val="center"/>
            </w:pPr>
            <w:r>
              <w:rPr>
                <w:rFonts w:ascii="Times New Roman" w:hAnsi="Times New Roman"/>
                <w:b/>
                <w:color w:val="005F6E"/>
                <w:sz w:val="21"/>
              </w:rPr>
              <w:t>NEAT SAF</w:t>
            </w:r>
          </w:p>
        </w:tc>
        <w:tc>
          <w:tcPr>
            <w:tcW w:type="dxa" w:w="2880"/>
            <w:shd w:fill="FFFFFF"/>
            <w:tcMar>
              <w:top w:w="80" w:type="dxa"/>
              <w:bottom w:w="80" w:type="dxa"/>
              <w:left w:w="120" w:type="dxa"/>
              <w:right w:w="120" w:type="dxa"/>
            </w:tcMar>
            <w:tcBorders>
              <w:top w:val="single" w:sz="4" w:space="0" w:color="E5E7EB"/>
              <w:bottom w:val="single" w:sz="4" w:space="0" w:color="E5E7EB"/>
              <w:left w:val="single" w:sz="4" w:space="0" w:color="E5E7EB"/>
              <w:right w:val="single" w:sz="4" w:space="0" w:color="E5E7EB"/>
            </w:tcBorders>
          </w:tcPr>
          <w:p>
            <w:pPr>
              <w:spacing w:after="0"/>
            </w:pPr>
            <w:r>
              <w:rPr>
                <w:rFonts w:ascii="Times New Roman" w:hAnsi="Times New Roman"/>
                <w:color w:val="1F2937"/>
                <w:sz w:val="21"/>
              </w:rPr>
              <w:t>Khối lượng SAF (Tấn)</w:t>
            </w:r>
          </w:p>
        </w:tc>
        <w:tc>
          <w:tcPr>
            <w:tcW w:type="dxa" w:w="4752"/>
            <w:shd w:fill="FFFFFF"/>
            <w:tcMar>
              <w:top w:w="80" w:type="dxa"/>
              <w:bottom w:w="80" w:type="dxa"/>
              <w:left w:w="120" w:type="dxa"/>
              <w:right w:w="120" w:type="dxa"/>
            </w:tcMar>
            <w:tcBorders>
              <w:top w:val="single" w:sz="4" w:space="0" w:color="E5E7EB"/>
              <w:bottom w:val="single" w:sz="4" w:space="0" w:color="E5E7EB"/>
              <w:left w:val="single" w:sz="4" w:space="0" w:color="E5E7EB"/>
              <w:right w:val="single" w:sz="4" w:space="0" w:color="E5E7EB"/>
            </w:tcBorders>
          </w:tcPr>
          <w:p>
            <w:pPr>
              <w:spacing w:after="0"/>
            </w:pPr>
            <w:r>
              <w:rPr>
                <w:rFonts w:ascii="Times New Roman" w:hAnsi="Times New Roman"/>
                <w:color w:val="1F2937"/>
                <w:sz w:val="21"/>
              </w:rPr>
              <w:t>Khối lượng nhiên liệu nguyên chất nạp lên tàu bay (đơn vị: Tấn).</w:t>
            </w:r>
          </w:p>
        </w:tc>
      </w:tr>
    </w:tbl>
    <w:p>
      <w:pPr>
        <w:spacing w:after="160"/>
      </w:pPr>
    </w:p>
    <w:p>
      <w:pPr>
        <w:keepNext/>
        <w:spacing w:before="240" w:after="120"/>
      </w:pPr>
      <w:r>
        <w:rPr>
          <w:rFonts w:ascii="Times New Roman" w:hAnsi="Times New Roman"/>
          <w:b/>
          <w:color w:val="0284C7"/>
          <w:sz w:val="26"/>
        </w:rPr>
        <w:t>1.3. Mẫu Khung Ghi Chú &amp; Lưu Ý (Callout Box)</w:t>
      </w:r>
    </w:p>
    <w:tbl>
      <w:tblPr>
        <w:tblW w:type="auto" w:w="0"/>
        <w:jc w:val="center"/>
        <w:tblLook w:firstColumn="1" w:firstRow="1" w:lastColumn="0" w:lastRow="0" w:noHBand="0" w:noVBand="1" w:val="04A0"/>
      </w:tblPr>
      <w:tblGrid>
        <w:gridCol w:w="9358"/>
      </w:tblGrid>
      <w:tr>
        <w:tc>
          <w:tcPr>
            <w:tcW w:type="dxa" w:w="9360"/>
            <w:shd w:fill="FEF3C7"/>
            <w:tcMar>
              <w:top w:w="120" w:type="dxa"/>
              <w:bottom w:w="120" w:type="dxa"/>
              <w:left w:w="180" w:type="dxa"/>
              <w:right w:w="180" w:type="dxa"/>
            </w:tcMar>
            <w:tcBorders>
              <w:top w:val="single" w:sz="4" w:space="0" w:color="E5E7EB"/>
              <w:bottom w:val="single" w:sz="4" w:space="0" w:color="E5E7EB"/>
              <w:left w:val="single" w:sz="4" w:space="0" w:color="D97706"/>
              <w:right w:val="single" w:sz="4" w:space="0" w:color="E5E7EB"/>
            </w:tcBorders>
          </w:tcPr>
          <w:p>
            <w:pPr>
              <w:spacing w:before="40" w:after="40" w:line="276" w:lineRule="auto"/>
            </w:pPr>
            <w:r>
              <w:rPr>
                <w:rFonts w:ascii="Times New Roman" w:hAnsi="Times New Roman"/>
                <w:b/>
                <w:color w:val="D97706"/>
                <w:sz w:val="22"/>
              </w:rPr>
              <w:t xml:space="preserve">Lưu ý quan trọng: </w:t>
            </w:r>
            <w:r>
              <w:rPr>
                <w:rFonts w:ascii="Times New Roman" w:hAnsi="Times New Roman"/>
                <w:color w:val="1F2937"/>
                <w:sz w:val="22"/>
              </w:rPr>
              <w:t>Dữ liệu phân bổ tín chỉ SAF chỉ có hiệu lực chính thức khi người dùng bấm 'Lưu kịch bản' và kết xuất báo cáo kiểm toán thành công.</w:t>
            </w:r>
          </w:p>
        </w:tc>
      </w:tr>
    </w:tbl>
    <w:p>
      <w:pPr>
        <w:spacing w:after="80"/>
      </w:pPr>
    </w:p>
    <w:tbl>
      <w:tblPr>
        <w:tblW w:type="auto" w:w="0"/>
        <w:jc w:val="center"/>
        <w:tblLook w:firstColumn="1" w:firstRow="1" w:lastColumn="0" w:lastRow="0" w:noHBand="0" w:noVBand="1" w:val="04A0"/>
      </w:tblPr>
      <w:tblGrid>
        <w:gridCol w:w="9358"/>
      </w:tblGrid>
      <w:tr>
        <w:tc>
          <w:tcPr>
            <w:tcW w:type="dxa" w:w="9360"/>
            <w:shd w:fill="DCFCE7"/>
            <w:tcMar>
              <w:top w:w="120" w:type="dxa"/>
              <w:bottom w:w="120" w:type="dxa"/>
              <w:left w:w="180" w:type="dxa"/>
              <w:right w:w="180" w:type="dxa"/>
            </w:tcMar>
            <w:tcBorders>
              <w:top w:val="single" w:sz="4" w:space="0" w:color="E5E7EB"/>
              <w:bottom w:val="single" w:sz="4" w:space="0" w:color="E5E7EB"/>
              <w:left w:val="single" w:sz="4" w:space="0" w:color="16A34A"/>
              <w:right w:val="single" w:sz="4" w:space="0" w:color="E5E7EB"/>
            </w:tcBorders>
          </w:tcPr>
          <w:p>
            <w:pPr>
              <w:spacing w:before="40" w:after="40" w:line="276" w:lineRule="auto"/>
            </w:pPr>
            <w:r>
              <w:rPr>
                <w:rFonts w:ascii="Times New Roman" w:hAnsi="Times New Roman"/>
                <w:b/>
                <w:color w:val="16A34A"/>
                <w:sz w:val="22"/>
              </w:rPr>
              <w:t xml:space="preserve">Mẹo thao tác: </w:t>
            </w:r>
            <w:r>
              <w:rPr>
                <w:rFonts w:ascii="Times New Roman" w:hAnsi="Times New Roman"/>
                <w:color w:val="1F2937"/>
                <w:sz w:val="22"/>
              </w:rPr>
              <w:t>Sử dụng tính năng 'So sánh kịch bản' để đánh giá chênh lệch chi phí trước khi quyết định gán claim chính thức.</w:t>
            </w:r>
          </w:p>
        </w:tc>
      </w:tr>
    </w:tbl>
    <w:p>
      <w:pPr>
        <w:spacing w:after="80"/>
      </w:pPr>
    </w:p>
    <w:sectPr w:rsidR="00FC693F" w:rsidRPr="0006063C" w:rsidSect="00034616">
      <w:headerReference w:type="default" r:id="rId9"/>
      <w:footerReference w:type="default" r:id="rId10"/>
      <w:pgSz w:w="11909" w:h="16834"/>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CA3AF"/>
        <w:sz w:val="17"/>
      </w:rPr>
      <w:t>Tài liệu hướng dẫn sử dụng nội bộ — VNA Netzero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B7280"/>
        <w:sz w:val="17"/>
      </w:rPr>
      <w:t>TỔNG CÔNG TY HÀNG KHÔNG VIỆT NAM — HỆ THỐNG VNA NETZERO (ESG)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