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Zaboraa FX — Implementation Summary</w:t>
      </w:r>
    </w:p>
    <w:p>
      <w:pPr>
        <w:jc w:val="center"/>
      </w:pPr>
      <w:r>
        <w:rPr>
          <w:b/>
          <w:sz w:val="21"/>
        </w:rPr>
        <w:t>Updated project: Zabura-FX-03 / Phase 2–4 implementation update, revised 27 October 2026 (4.5)</w:t>
      </w:r>
    </w:p>
    <w:p>
      <w:r>
        <w:rPr>
          <w:b/>
        </w:rPr>
        <w:t xml:space="preserve">Purpose. </w:t>
      </w:r>
      <w:r>
        <w:t>This document records the changes included in the latest updated project ZIP and revises implementation status. “Implemented” means code changes are present; it does not mean the full application has passed end-to-end acceptance or is production/live-trading ready. Section 1A (new in 4.5) records the fixes the owner reported on 27 October 2026; it is owner-reported and was not run or tested by the editor.</w:t>
      </w:r>
    </w:p>
    <w:p>
      <w:pPr>
        <w:pStyle w:val="Heading1"/>
      </w:pPr>
      <w:r>
        <w:t>1A. Update of 27 October 2026 — downloads and research datasets</w:t>
      </w:r>
    </w:p>
    <w:p>
      <w:pPr>
        <w:pStyle w:val="ListBullet"/>
        <w:spacing w:after="60"/>
      </w:pPr>
      <w:r>
        <w:rPr>
          <w:b/>
        </w:rPr>
        <w:t xml:space="preserve">Broker symbol mapping (D38): </w:t>
      </w:r>
      <w:r>
        <w:rPr>
          <w:b w:val="0"/>
        </w:rPr>
        <w:t>The Exness demo terminal only knows suffixed symbols such as EURUSDm, while the portal sent EURUSD, so the bridge answered 404. The bulk-download route now appends the configured suffix (brokerState.symbolSuffix, default m) when missing, calls the bridge with the broker symbol and stores the candles under the canonical symbol. Seen in server.ts; reported fixed by the owner. A named test is not on record.</w:t>
      </w:r>
    </w:p>
    <w:p>
      <w:pPr>
        <w:pStyle w:val="ListBullet"/>
        <w:spacing w:after="60"/>
      </w:pPr>
      <w:r>
        <w:rPr>
          <w:b/>
        </w:rPr>
        <w:t xml:space="preserve">Pagination date format: </w:t>
      </w:r>
      <w:r>
        <w:rPr>
          <w:b w:val="0"/>
        </w:rPr>
        <w:t>The page loop now sends date_to as an ISO-8601 string with an explicit +00:00 offset instead of epoch seconds, so the bridge no longer answers 400 INVALID_DATE_RANGE. Seen in server.ts.</w:t>
      </w:r>
    </w:p>
    <w:p>
      <w:pPr>
        <w:pStyle w:val="ListBullet"/>
        <w:spacing w:after="60"/>
      </w:pPr>
      <w:r>
        <w:rPr>
          <w:b/>
        </w:rPr>
        <w:t xml:space="preserve">Bridge paging bug (D39): </w:t>
      </w:r>
      <w:r>
        <w:rPr>
          <w:b w:val="0"/>
        </w:rPr>
        <w:t>Page 2 still failed with 502 (-2, 'Terminal: Invalid params'). The cause was the bridge calling copy_rates_range from 2000-01-01 to date_to, a 26-year range, when only date_to was supplied. The fix advised, and reported resolved by the owner, is to call copy_rates_from(symbol, timeframe, date_to, count) with a timezone-aware UTC date, and to use copy_rates_range only when date_from is also supplied. Page 1 still uses copy_rates_from_pos from position 1, so the forming candle stays excluded. Correction: the earlier explanation in this project’s notes (naive UTC conversion for copy_rates_range, plus URL-decoding with unquote) was not the cause and is withdrawn. The main.py supplied with this update is still the pre-fix copy, so the fix has not been seen in code and has no named test. The scope tested was EURUSDm M1 as far as the owner stated.</w:t>
      </w:r>
    </w:p>
    <w:p>
      <w:pPr>
        <w:pStyle w:val="ListBullet"/>
        <w:spacing w:after="60"/>
      </w:pPr>
      <w:r>
        <w:rPr>
          <w:b/>
        </w:rPr>
        <w:t xml:space="preserve">Active Research Dataset activation (D40): </w:t>
      </w:r>
      <w:r>
        <w:rPr>
          <w:b w:val="0"/>
        </w:rPr>
        <w:t>Stored candles were not becoming active research datasets, so Backtesting Lab reported zero active datasets and blocked simulations. The owner replaced the relevant files with those in the supplied ZIP and confirmed the issue is fixed. The files were not named or shown. Restart persistence, persisted provenance and XAUUSD/XAUUSDm matching remain unproven (section 5).</w:t>
      </w:r>
    </w:p>
    <w:p>
      <w:pPr>
        <w:pStyle w:val="ListBullet"/>
        <w:spacing w:after="60"/>
      </w:pPr>
      <w:r>
        <w:rPr>
          <w:b/>
        </w:rPr>
        <w:t xml:space="preserve">Findings from reading server.ts (D41, D42; proposals, not tested): </w:t>
      </w:r>
      <w:r>
        <w:rPr>
          <w:b w:val="0"/>
        </w:rPr>
        <w:t>(a) The page loop ends cleanly on a short or empty page, but the bridge answers an empty result with 502 NO_DATA and the loop treats every non-OK reply as failure, so a timeframe whose history ends exactly on a full page of 5,000 bars would fail the job after saving its data. (b) The loop stops at 200 pages of 5,000 bars, 1,000,000 bars per timeframe per job. At about 370,000 M1 bars a year that is roughly 2.7 years, and a repeat job restarts from the newest bar, so older M1 history cannot be reached.</w:t>
      </w:r>
    </w:p>
    <w:p>
      <w:pPr>
        <w:pStyle w:val="ListBullet"/>
        <w:spacing w:after="60"/>
      </w:pPr>
      <w:r>
        <w:rPr>
          <w:b/>
        </w:rPr>
        <w:t xml:space="preserve">Gate figures: </w:t>
      </w:r>
      <w:r>
        <w:rPr>
          <w:b w:val="0"/>
        </w:rPr>
        <w:t>The owner’s status notes record an earlier project version as passing 260 of 260 tests with lint and the production build clean; the ZIP and date are not recorded. Nothing was re-run for this update, so the current integrated project has no recorded gate.</w:t>
      </w:r>
    </w:p>
    <w:p>
      <w:pPr>
        <w:pStyle w:val="ListBullet"/>
        <w:spacing w:after="60"/>
      </w:pPr>
      <w:r>
        <w:rPr>
          <w:b/>
        </w:rPr>
        <w:t xml:space="preserve">Safety: </w:t>
      </w:r>
      <w:r>
        <w:rPr>
          <w:b w:val="0"/>
        </w:rPr>
        <w:t>No live order was submitted and no position was closed. ALLOW_TRADING=false and ALLOW_LIVE=false stay in force.</w:t>
      </w:r>
    </w:p>
    <w:p>
      <w:pPr>
        <w:pStyle w:val="Heading1"/>
      </w:pPr>
      <w:r>
        <w:t>1. Latest update — changes made</w:t>
      </w:r>
    </w:p>
    <w:p>
      <w:pPr>
        <w:pStyle w:val="ListBullet"/>
        <w:spacing w:after="60"/>
      </w:pPr>
      <w:r>
        <w:rPr>
          <w:b/>
        </w:rPr>
        <w:t xml:space="preserve">Removed automatic synthetic startup datasets: </w:t>
      </w:r>
      <w:r>
        <w:t>The app no longer seeds two synthetic datasets on startup. Optimization must not silently use fabricated benchmark data as though it were authentic market history.</w:t>
      </w:r>
    </w:p>
    <w:p>
      <w:pPr>
        <w:pStyle w:val="ListBullet"/>
        <w:spacing w:after="60"/>
      </w:pPr>
      <w:r>
        <w:rPr>
          <w:b/>
        </w:rPr>
        <w:t xml:space="preserve">Optimization data eligibility: </w:t>
      </w:r>
      <w:r>
        <w:t>OptimizationView now requires an explicitly research-eligible, non-simulated dataset with at least 100 candles. If eligible data is missing, the UI reports the issue and disables optimization instead of generating fallback data.</w:t>
      </w:r>
    </w:p>
    <w:p>
      <w:pPr>
        <w:pStyle w:val="ListBullet"/>
        <w:spacing w:after="60"/>
      </w:pPr>
      <w:r>
        <w:rPr>
          <w:b/>
        </w:rPr>
        <w:t xml:space="preserve">Reserved final holdout segment: </w:t>
      </w:r>
      <w:r>
        <w:t>The optimizer reserves the final 20% of the input candles as a test/holdout segment. It is excluded from in-sample and validation/OOS scoring, trial ranking, and heatmap calculations. The report can expose reserved bar count and start time.</w:t>
      </w:r>
    </w:p>
    <w:p>
      <w:pPr>
        <w:pStyle w:val="ListBullet"/>
        <w:spacing w:after="60"/>
      </w:pPr>
      <w:r>
        <w:rPr>
          <w:b/>
        </w:rPr>
        <w:t xml:space="preserve">Backtest validation and removal of silent strategy fallback: </w:t>
      </w:r>
      <w:r>
        <w:t>Backtesting validates finite candle fields, OHLC consistency, and strictly increasing timestamps. If a strategy executor is unavailable, it throws BACKTEST_STRATEGY_UNAVAILABLE instead of silently substituting an RSI/momentum strategy.</w:t>
      </w:r>
    </w:p>
    <w:p>
      <w:pPr>
        <w:pStyle w:val="ListBullet"/>
        <w:spacing w:after="60"/>
      </w:pPr>
      <w:r>
        <w:rPr>
          <w:b/>
        </w:rPr>
        <w:t xml:space="preserve">Stored-data check: </w:t>
      </w:r>
      <w:r>
        <w:t>Data Manager now has a “Check Stored Data” action that calls /api/data/check.</w:t>
      </w:r>
    </w:p>
    <w:p>
      <w:pPr>
        <w:pStyle w:val="ListBullet"/>
        <w:spacing w:after="60"/>
      </w:pPr>
      <w:r>
        <w:rPr>
          <w:b/>
        </w:rPr>
        <w:t xml:space="preserve">Download cancellation: </w:t>
      </w:r>
      <w:r>
        <w:t>The bulk-download flow tracks the active job ID and the Cancel Download action sends a cancellation request to /api/jobs/:id/cancel.</w:t>
      </w:r>
    </w:p>
    <w:p>
      <w:pPr>
        <w:pStyle w:val="ListBullet"/>
        <w:spacing w:after="60"/>
      </w:pPr>
      <w:r>
        <w:rPr>
          <w:b/>
        </w:rPr>
        <w:t xml:space="preserve">Data Manager options: </w:t>
      </w:r>
      <w:r>
        <w:t>Added M10 and M30 timeframe options and XAUUSDm support in the relevant UI/fetch path.</w:t>
      </w:r>
    </w:p>
    <w:p>
      <w:pPr>
        <w:pStyle w:val="ListBullet"/>
        <w:spacing w:after="60"/>
      </w:pPr>
      <w:r>
        <w:rPr>
          <w:b/>
        </w:rPr>
        <w:t xml:space="preserve">Test coverage updates: </w:t>
      </w:r>
      <w:r>
        <w:t>Backtest validation tests now check finite trade output, missing strategy executor behavior, invalid OHLC data, and reserved holdout behavior. A strategy execution cancellation fixture was extended to 120 candles to meet the optimizer’s viable-data split requirements.</w:t>
      </w:r>
    </w:p>
    <w:p>
      <w:pPr>
        <w:pStyle w:val="ListBullet"/>
        <w:spacing w:after="60"/>
      </w:pPr>
      <w:r>
        <w:rPr>
          <w:b/>
        </w:rPr>
        <w:t xml:space="preserve">Implementation and acceptance documentation: </w:t>
      </w:r>
      <w:r>
        <w:t>Added docs/PHASE-2-4-IMPLEMENTATION-AND-ACCEPTANCE.md and updated README.md, IMPLEMENTATION_NOTES.md, and PATCH_NOTES.md with current changes and pending acceptance checks.</w:t>
      </w:r>
    </w:p>
    <w:p>
      <w:pPr>
        <w:pStyle w:val="Heading1"/>
      </w:pPr>
      <w:r>
        <w:t>2. Previously documented functionality retained in the project</w:t>
      </w:r>
    </w:p>
    <w:p>
      <w:pPr>
        <w:pStyle w:val="ListBullet"/>
        <w:spacing w:after="60"/>
      </w:pPr>
      <w:r>
        <w:rPr>
          <w:b/>
        </w:rPr>
        <w:t xml:space="preserve">Bridge metadata and error reporting: </w:t>
      </w:r>
      <w:r>
        <w:t>Bridge candle responses include count, UTC offset, time basis, and earliest-history metadata; Data Manager can show server-returned errors.</w:t>
      </w:r>
    </w:p>
    <w:p>
      <w:pPr>
        <w:pStyle w:val="ListBullet"/>
        <w:spacing w:after="60"/>
      </w:pPr>
      <w:r>
        <w:rPr>
          <w:b/>
        </w:rPr>
        <w:t xml:space="preserve">Historical downloads and paging: </w:t>
      </w:r>
      <w:r>
        <w:t>Bulk download covers the eight bridge-supported timeframes with date-based paging. The implementation notes specify a maximum of 200 pages per timeframe per job; depth remains dependent on broker/terminal history.</w:t>
      </w:r>
    </w:p>
    <w:p>
      <w:pPr>
        <w:pStyle w:val="ListBullet"/>
        <w:spacing w:after="60"/>
      </w:pPr>
      <w:r>
        <w:rPr>
          <w:b/>
        </w:rPr>
        <w:t xml:space="preserve">Append-only candle persistence: </w:t>
      </w:r>
      <w:r>
        <w:t>SQLite candle storage is keyed by symbol, timeframe, and timestamp. Existing timestamps are retained on subsequent downloads, and the MT5 forming candle is excluded from finalized storage.</w:t>
      </w:r>
    </w:p>
    <w:p>
      <w:pPr>
        <w:pStyle w:val="ListBullet"/>
        <w:spacing w:after="60"/>
      </w:pPr>
      <w:r>
        <w:rPr>
          <w:b/>
        </w:rPr>
        <w:t xml:space="preserve">Legacy data migration and stored OHLC tools: </w:t>
      </w:r>
      <w:r>
        <w:t>The prior summary describes migration of year-partitioned JSON candles on first read, stored OHLC filtering/paging/CSV export, and dataset catalog metadata.</w:t>
      </w:r>
    </w:p>
    <w:p>
      <w:pPr>
        <w:pStyle w:val="ListBullet"/>
        <w:spacing w:after="60"/>
      </w:pPr>
      <w:r>
        <w:rPr>
          <w:b/>
        </w:rPr>
        <w:t xml:space="preserve">Backtest reports and chart workflow: </w:t>
      </w:r>
      <w:r>
        <w:t>The prior summary describes save/list/retrieve/delete routes for backtest reports, trade entry/exit markers, and a browser Print → Save as PDF workflow.</w:t>
      </w:r>
    </w:p>
    <w:p>
      <w:pPr>
        <w:pStyle w:val="ListBullet"/>
        <w:spacing w:after="60"/>
      </w:pPr>
      <w:r>
        <w:rPr>
          <w:b/>
        </w:rPr>
        <w:t xml:space="preserve">Account badge and timeframe support: </w:t>
      </w:r>
      <w:r>
        <w:t>The account badge follows bridge-reported account types (REAL, CONTEST, DEMO, UNKNOWN); UI support includes the eight bridge timeframes.</w:t>
      </w:r>
    </w:p>
    <w:p>
      <w:pPr>
        <w:pStyle w:val="Heading1"/>
      </w:pPr>
      <w:r>
        <w:t>3. Status overview</w:t>
      </w:r>
    </w:p>
    <w:tbl>
      <w:tblPr>
        <w:tblStyle w:val="TableGrid"/>
        <w:tblW w:type="auto" w:w="0"/>
        <w:jc w:val="center"/>
        <w:tblLook w:firstColumn="1" w:firstRow="1" w:lastColumn="0" w:lastRow="0" w:noHBand="0" w:noVBand="1" w:val="04A0"/>
      </w:tblPr>
      <w:tblGrid>
        <w:gridCol w:w="3408"/>
        <w:gridCol w:w="3408"/>
        <w:gridCol w:w="3408"/>
      </w:tblGrid>
      <w:tr>
        <w:tc>
          <w:tcPr>
            <w:tcW w:type="dxa" w:w="2448"/>
            <w:vAlign w:val="center"/>
            <w:shd w:fill="D9EAF7"/>
          </w:tcPr>
          <w:p>
            <w:pPr>
              <w:spacing w:after="0"/>
            </w:pPr>
            <w:r/>
            <w:r>
              <w:rPr>
                <w:b/>
                <w:sz w:val="17"/>
              </w:rPr>
              <w:t>Area</w:t>
            </w:r>
          </w:p>
        </w:tc>
        <w:tc>
          <w:tcPr>
            <w:tcW w:type="dxa" w:w="2880"/>
            <w:vAlign w:val="center"/>
            <w:shd w:fill="D9EAF7"/>
          </w:tcPr>
          <w:p>
            <w:pPr>
              <w:spacing w:after="0"/>
            </w:pPr>
            <w:r/>
            <w:r>
              <w:rPr>
                <w:b/>
                <w:sz w:val="17"/>
              </w:rPr>
              <w:t>Current status</w:t>
            </w:r>
          </w:p>
        </w:tc>
        <w:tc>
          <w:tcPr>
            <w:tcW w:type="dxa" w:w="5328"/>
            <w:vAlign w:val="center"/>
            <w:shd w:fill="D9EAF7"/>
          </w:tcPr>
          <w:p>
            <w:pPr>
              <w:spacing w:after="0"/>
            </w:pPr>
            <w:r/>
            <w:r>
              <w:rPr>
                <w:b/>
                <w:sz w:val="17"/>
              </w:rPr>
              <w:t>Notes / acceptance action</w:t>
            </w:r>
          </w:p>
        </w:tc>
      </w:tr>
      <w:tr>
        <w:tc>
          <w:tcPr>
            <w:tcW w:type="dxa" w:w="2448"/>
            <w:vAlign w:val="center"/>
          </w:tcPr>
          <w:p>
            <w:pPr>
              <w:spacing w:after="0"/>
            </w:pPr>
            <w:r/>
            <w:r>
              <w:rPr>
                <w:b w:val="0"/>
                <w:sz w:val="17"/>
              </w:rPr>
              <w:t>Phase 2 — safety/bridge acceptance checks</w:t>
            </w:r>
          </w:p>
        </w:tc>
        <w:tc>
          <w:tcPr>
            <w:tcW w:type="dxa" w:w="2880"/>
            <w:vAlign w:val="center"/>
          </w:tcPr>
          <w:p>
            <w:pPr>
              <w:spacing w:after="0"/>
            </w:pPr>
            <w:r/>
            <w:r>
              <w:rPr>
                <w:b w:val="0"/>
                <w:sz w:val="17"/>
              </w:rPr>
              <w:t>Code/documentation updated where noted; manual acceptance pending</w:t>
            </w:r>
          </w:p>
        </w:tc>
        <w:tc>
          <w:tcPr>
            <w:tcW w:type="dxa" w:w="5328"/>
            <w:vAlign w:val="center"/>
          </w:tcPr>
          <w:p>
            <w:pPr>
              <w:spacing w:after="0"/>
            </w:pPr>
            <w:r/>
            <w:r>
              <w:rPr>
                <w:b w:val="0"/>
                <w:sz w:val="17"/>
              </w:rPr>
              <w:t>Run Checklist 21 (/kill) with an open demo position, Checklist 8 (ALLOW_TRADING=false), and Checklist 27 (terminal disconnected). Do not run /kill without explicitly confirming its account-wide effect.</w:t>
            </w:r>
          </w:p>
        </w:tc>
      </w:tr>
      <w:tr>
        <w:tc>
          <w:tcPr>
            <w:tcW w:type="dxa" w:w="2448"/>
            <w:vAlign w:val="center"/>
          </w:tcPr>
          <w:p>
            <w:pPr>
              <w:spacing w:after="0"/>
            </w:pPr>
            <w:r/>
            <w:r>
              <w:rPr>
                <w:b w:val="0"/>
                <w:sz w:val="17"/>
              </w:rPr>
              <w:t>Phase 3 — historical data manager</w:t>
            </w:r>
          </w:p>
        </w:tc>
        <w:tc>
          <w:tcPr>
            <w:tcW w:type="dxa" w:w="2880"/>
            <w:vAlign w:val="center"/>
          </w:tcPr>
          <w:p>
            <w:pPr>
              <w:spacing w:after="0"/>
            </w:pPr>
            <w:r/>
            <w:r>
              <w:rPr>
                <w:b w:val="0"/>
                <w:sz w:val="17"/>
              </w:rPr>
              <w:t>UI changes implemented; download and paging fixes reported 27 Oct; end-to-end workflow not fully verified</w:t>
            </w:r>
          </w:p>
        </w:tc>
        <w:tc>
          <w:tcPr>
            <w:tcW w:type="dxa" w:w="5328"/>
            <w:vAlign w:val="center"/>
          </w:tcPr>
          <w:p>
            <w:pPr>
              <w:spacing w:after="0"/>
            </w:pPr>
            <w:r/>
            <w:r>
              <w:rPr>
                <w:b w:val="0"/>
                <w:sz w:val="17"/>
              </w:rPr>
              <w:t>Test EURUSDm and XAUUSDm for M1, M5, M10, M15, M30, H1, H3, D1; verify a repeat download adds nothing, page boundaries have no gap or overlap, cancellation and stored-data checks.</w:t>
            </w:r>
          </w:p>
        </w:tc>
      </w:tr>
      <w:tr>
        <w:tc>
          <w:tcPr>
            <w:tcW w:type="dxa" w:w="2448"/>
            <w:vAlign w:val="center"/>
          </w:tcPr>
          <w:p>
            <w:pPr>
              <w:spacing w:after="0"/>
            </w:pPr>
            <w:r/>
            <w:r>
              <w:rPr>
                <w:b w:val="0"/>
                <w:sz w:val="17"/>
              </w:rPr>
              <w:t>Phase 4 — backtest validation/holdout</w:t>
            </w:r>
          </w:p>
        </w:tc>
        <w:tc>
          <w:tcPr>
            <w:tcW w:type="dxa" w:w="2880"/>
            <w:vAlign w:val="center"/>
          </w:tcPr>
          <w:p>
            <w:pPr>
              <w:spacing w:after="0"/>
            </w:pPr>
            <w:r/>
            <w:r>
              <w:rPr>
                <w:b w:val="0"/>
                <w:sz w:val="17"/>
              </w:rPr>
              <w:t>Code changes implemented; full app tests and market-data comparisons pending</w:t>
            </w:r>
          </w:p>
        </w:tc>
        <w:tc>
          <w:tcPr>
            <w:tcW w:type="dxa" w:w="5328"/>
            <w:vAlign w:val="center"/>
          </w:tcPr>
          <w:p>
            <w:pPr>
              <w:spacing w:after="0"/>
            </w:pPr>
            <w:r/>
            <w:r>
              <w:rPr>
                <w:b w:val="0"/>
                <w:sz w:val="17"/>
              </w:rPr>
              <w:t>Verify finite outputs and holdout isolation; compare three representative samples with TradingView/Pine results.</w:t>
            </w:r>
          </w:p>
        </w:tc>
      </w:tr>
      <w:tr>
        <w:tc>
          <w:tcPr>
            <w:tcW w:type="dxa" w:w="2448"/>
            <w:vAlign w:val="center"/>
          </w:tcPr>
          <w:p>
            <w:pPr>
              <w:spacing w:after="0"/>
            </w:pPr>
            <w:r/>
            <w:r>
              <w:rPr>
                <w:b w:val="0"/>
                <w:sz w:val="17"/>
              </w:rPr>
              <w:t>Bridge unit tests</w:t>
            </w:r>
          </w:p>
        </w:tc>
        <w:tc>
          <w:tcPr>
            <w:tcW w:type="dxa" w:w="2880"/>
            <w:vAlign w:val="center"/>
          </w:tcPr>
          <w:p>
            <w:pPr>
              <w:spacing w:after="0"/>
            </w:pPr>
            <w:r/>
            <w:r>
              <w:rPr>
                <w:b w:val="0"/>
                <w:sz w:val="17"/>
              </w:rPr>
              <w:t>PASS (4.4 record) — 61 tests; not re-run for the 27 Oct fix</w:t>
            </w:r>
          </w:p>
        </w:tc>
        <w:tc>
          <w:tcPr>
            <w:tcW w:type="dxa" w:w="5328"/>
            <w:vAlign w:val="center"/>
          </w:tcPr>
          <w:p>
            <w:pPr>
              <w:spacing w:after="0"/>
            </w:pPr>
            <w:r/>
            <w:r>
              <w:rPr>
                <w:b w:val="0"/>
                <w:sz w:val="17"/>
              </w:rPr>
              <w:t>python -m pytest -q mt5-bridge/test_bridge.py returned 61 passed. Add a test for the date_to branch (copy_rates_from with a tz-aware UTC date).</w:t>
            </w:r>
          </w:p>
        </w:tc>
      </w:tr>
      <w:tr>
        <w:tc>
          <w:tcPr>
            <w:tcW w:type="dxa" w:w="2448"/>
            <w:vAlign w:val="center"/>
          </w:tcPr>
          <w:p>
            <w:pPr>
              <w:spacing w:after="0"/>
            </w:pPr>
            <w:r/>
            <w:r>
              <w:rPr>
                <w:b w:val="0"/>
                <w:sz w:val="17"/>
              </w:rPr>
              <w:t>TypeScript/TSX syntax transpile</w:t>
            </w:r>
          </w:p>
        </w:tc>
        <w:tc>
          <w:tcPr>
            <w:tcW w:type="dxa" w:w="2880"/>
            <w:vAlign w:val="center"/>
          </w:tcPr>
          <w:p>
            <w:pPr>
              <w:spacing w:after="0"/>
            </w:pPr>
            <w:r/>
            <w:r>
              <w:rPr>
                <w:b w:val="0"/>
                <w:sz w:val="17"/>
              </w:rPr>
              <w:t>PASS — 64 files, zero syntax diagnostics</w:t>
            </w:r>
          </w:p>
        </w:tc>
        <w:tc>
          <w:tcPr>
            <w:tcW w:type="dxa" w:w="5328"/>
            <w:vAlign w:val="center"/>
          </w:tcPr>
          <w:p>
            <w:pPr>
              <w:spacing w:after="0"/>
            </w:pPr>
            <w:r/>
            <w:r>
              <w:rPr>
                <w:b w:val="0"/>
                <w:sz w:val="17"/>
              </w:rPr>
              <w:t>Syntax-only transpilation check; this is not a full type-check.</w:t>
            </w:r>
          </w:p>
        </w:tc>
      </w:tr>
      <w:tr>
        <w:tc>
          <w:tcPr>
            <w:tcW w:type="dxa" w:w="2448"/>
            <w:vAlign w:val="center"/>
          </w:tcPr>
          <w:p>
            <w:pPr>
              <w:spacing w:after="0"/>
            </w:pPr>
            <w:r/>
            <w:r>
              <w:rPr>
                <w:b w:val="0"/>
                <w:sz w:val="17"/>
              </w:rPr>
              <w:t>Full TypeScript type-check</w:t>
            </w:r>
          </w:p>
        </w:tc>
        <w:tc>
          <w:tcPr>
            <w:tcW w:type="dxa" w:w="2880"/>
            <w:vAlign w:val="center"/>
          </w:tcPr>
          <w:p>
            <w:pPr>
              <w:spacing w:after="0"/>
            </w:pPr>
            <w:r/>
            <w:r>
              <w:rPr>
                <w:b w:val="0"/>
                <w:sz w:val="17"/>
              </w:rPr>
              <w:t>NOT VERIFIED</w:t>
            </w:r>
          </w:p>
        </w:tc>
        <w:tc>
          <w:tcPr>
            <w:tcW w:type="dxa" w:w="5328"/>
            <w:vAlign w:val="center"/>
          </w:tcPr>
          <w:p>
            <w:pPr>
              <w:spacing w:after="0"/>
            </w:pPr>
            <w:r/>
            <w:r>
              <w:rPr>
                <w:b w:val="0"/>
                <w:sz w:val="17"/>
              </w:rPr>
              <w:t>Attempted but blocked because vite/client type definitions/dependencies were missing.</w:t>
            </w:r>
          </w:p>
        </w:tc>
      </w:tr>
      <w:tr>
        <w:tc>
          <w:tcPr>
            <w:tcW w:type="dxa" w:w="2448"/>
            <w:vAlign w:val="center"/>
          </w:tcPr>
          <w:p>
            <w:pPr>
              <w:spacing w:after="0"/>
            </w:pPr>
            <w:r/>
            <w:r>
              <w:rPr>
                <w:b w:val="0"/>
                <w:sz w:val="17"/>
              </w:rPr>
              <w:t>Full Vitest suite and Vite production build</w:t>
            </w:r>
          </w:p>
        </w:tc>
        <w:tc>
          <w:tcPr>
            <w:tcW w:type="dxa" w:w="2880"/>
            <w:vAlign w:val="center"/>
          </w:tcPr>
          <w:p>
            <w:pPr>
              <w:spacing w:after="0"/>
            </w:pPr>
            <w:r/>
            <w:r>
              <w:rPr>
                <w:b w:val="0"/>
                <w:sz w:val="17"/>
              </w:rPr>
              <w:t>NOT RUN</w:t>
            </w:r>
          </w:p>
        </w:tc>
        <w:tc>
          <w:tcPr>
            <w:tcW w:type="dxa" w:w="5328"/>
            <w:vAlign w:val="center"/>
          </w:tcPr>
          <w:p>
            <w:pPr>
              <w:spacing w:after="0"/>
            </w:pPr>
            <w:r/>
            <w:r>
              <w:rPr>
                <w:b w:val="0"/>
                <w:sz w:val="17"/>
              </w:rPr>
              <w:t>Project dependencies were not installed in this environment; no claim of a passing full app test suite or production build.</w:t>
            </w:r>
          </w:p>
        </w:tc>
      </w:tr>
      <w:tr>
        <w:tc>
          <w:tcPr>
            <w:tcW w:type="dxa" w:w="2448"/>
            <w:vAlign w:val="center"/>
          </w:tcPr>
          <w:p>
            <w:pPr>
              <w:spacing w:after="0"/>
            </w:pPr>
            <w:r/>
            <w:r>
              <w:rPr>
                <w:b w:val="0"/>
                <w:sz w:val="17"/>
              </w:rPr>
              <w:t>End-to-end portal + MT5 validation</w:t>
            </w:r>
          </w:p>
        </w:tc>
        <w:tc>
          <w:tcPr>
            <w:tcW w:type="dxa" w:w="2880"/>
            <w:vAlign w:val="center"/>
          </w:tcPr>
          <w:p>
            <w:pPr>
              <w:spacing w:after="0"/>
            </w:pPr>
            <w:r/>
            <w:r>
              <w:rPr>
                <w:b w:val="0"/>
                <w:sz w:val="17"/>
              </w:rPr>
              <w:t>PENDING</w:t>
            </w:r>
          </w:p>
        </w:tc>
        <w:tc>
          <w:tcPr>
            <w:tcW w:type="dxa" w:w="5328"/>
            <w:vAlign w:val="center"/>
          </w:tcPr>
          <w:p>
            <w:pPr>
              <w:spacing w:after="0"/>
            </w:pPr>
            <w:r/>
            <w:r>
              <w:rPr>
                <w:b w:val="0"/>
                <w:sz w:val="17"/>
              </w:rPr>
              <w:t>Application was not run end-to-end as part of this update; no live order was submitted and no position was closed by this update.</w:t>
            </w:r>
          </w:p>
        </w:tc>
      </w:tr>
      <w:tr>
        <w:tc>
          <w:tcPr>
            <w:tcW w:type="dxa" w:w="2448"/>
            <w:vAlign w:val="center"/>
          </w:tcPr>
          <w:p>
            <w:pPr>
              <w:spacing w:after="0"/>
            </w:pPr>
            <w:r/>
            <w:r>
              <w:rPr>
                <w:b w:val="0"/>
                <w:sz w:val="17"/>
              </w:rPr>
              <w:t>MT5 download: symbol suffix and paging (D38, D39)</w:t>
            </w:r>
          </w:p>
        </w:tc>
        <w:tc>
          <w:tcPr>
            <w:tcW w:type="dxa" w:w="2880"/>
            <w:vAlign w:val="center"/>
          </w:tcPr>
          <w:p>
            <w:pPr>
              <w:spacing w:after="0"/>
            </w:pPr>
            <w:r/>
            <w:r>
              <w:rPr>
                <w:b w:val="0"/>
                <w:sz w:val="17"/>
              </w:rPr>
              <w:t>FIXED (owner-reported, 27 Oct)</w:t>
            </w:r>
          </w:p>
        </w:tc>
        <w:tc>
          <w:tcPr>
            <w:tcW w:type="dxa" w:w="5328"/>
            <w:vAlign w:val="center"/>
          </w:tcPr>
          <w:p>
            <w:pPr>
              <w:spacing w:after="0"/>
            </w:pPr>
            <w:r/>
            <w:r>
              <w:rPr>
                <w:b w:val="0"/>
                <w:sz w:val="17"/>
              </w:rPr>
              <w:t>EURUSDm M1 paging reported working. main.py fix not seen; no named tests; all symbols and timeframes untested.</w:t>
            </w:r>
          </w:p>
        </w:tc>
      </w:tr>
      <w:tr>
        <w:tc>
          <w:tcPr>
            <w:tcW w:type="dxa" w:w="2448"/>
            <w:vAlign w:val="center"/>
          </w:tcPr>
          <w:p>
            <w:pPr>
              <w:spacing w:after="0"/>
            </w:pPr>
            <w:r/>
            <w:r>
              <w:rPr>
                <w:b w:val="0"/>
                <w:sz w:val="17"/>
              </w:rPr>
              <w:t>Active Research Dataset activation (D40)</w:t>
            </w:r>
          </w:p>
        </w:tc>
        <w:tc>
          <w:tcPr>
            <w:tcW w:type="dxa" w:w="2880"/>
            <w:vAlign w:val="center"/>
          </w:tcPr>
          <w:p>
            <w:pPr>
              <w:spacing w:after="0"/>
            </w:pPr>
            <w:r/>
            <w:r>
              <w:rPr>
                <w:b w:val="0"/>
                <w:sz w:val="17"/>
              </w:rPr>
              <w:t>FIXED (owner-confirmed, 27 Oct)</w:t>
            </w:r>
          </w:p>
        </w:tc>
        <w:tc>
          <w:tcPr>
            <w:tcW w:type="dxa" w:w="5328"/>
            <w:vAlign w:val="center"/>
          </w:tcPr>
          <w:p>
            <w:pPr>
              <w:spacing w:after="0"/>
            </w:pPr>
            <w:r/>
            <w:r>
              <w:rPr>
                <w:b w:val="0"/>
                <w:sz w:val="17"/>
              </w:rPr>
              <w:t>Backtesting Lab sees active datasets. Verify after a full restart, with persisted provenance and XAUUSD/XAUUSDm matching.</w:t>
            </w:r>
          </w:p>
        </w:tc>
      </w:tr>
      <w:tr>
        <w:tc>
          <w:tcPr>
            <w:tcW w:type="dxa" w:w="2448"/>
            <w:vAlign w:val="center"/>
          </w:tcPr>
          <w:p>
            <w:pPr>
              <w:spacing w:after="0"/>
            </w:pPr>
            <w:r/>
            <w:r>
              <w:rPr>
                <w:b w:val="0"/>
                <w:sz w:val="17"/>
              </w:rPr>
              <w:t>Download end of history and depth (D41, D42)</w:t>
            </w:r>
          </w:p>
        </w:tc>
        <w:tc>
          <w:tcPr>
            <w:tcW w:type="dxa" w:w="2880"/>
            <w:vAlign w:val="center"/>
          </w:tcPr>
          <w:p>
            <w:pPr>
              <w:spacing w:after="0"/>
            </w:pPr>
            <w:r/>
            <w:r>
              <w:rPr>
                <w:b w:val="0"/>
                <w:sz w:val="17"/>
              </w:rPr>
              <w:t>OPEN (proposed)</w:t>
            </w:r>
          </w:p>
        </w:tc>
        <w:tc>
          <w:tcPr>
            <w:tcW w:type="dxa" w:w="5328"/>
            <w:vAlign w:val="center"/>
          </w:tcPr>
          <w:p>
            <w:pPr>
              <w:spacing w:after="0"/>
            </w:pPr>
            <w:r/>
            <w:r>
              <w:rPr>
                <w:b w:val="0"/>
                <w:sz w:val="17"/>
              </w:rPr>
              <w:t>Treat NO_DATA after a saved page as the end of history; measure real M1 depth before changing the 200-page cap.</w:t>
            </w:r>
          </w:p>
        </w:tc>
      </w:tr>
      <w:tr>
        <w:tc>
          <w:tcPr>
            <w:tcW w:type="dxa" w:w="2448"/>
            <w:vAlign w:val="center"/>
          </w:tcPr>
          <w:p>
            <w:pPr>
              <w:spacing w:after="0"/>
            </w:pPr>
            <w:r/>
            <w:r>
              <w:rPr>
                <w:b w:val="0"/>
                <w:sz w:val="17"/>
              </w:rPr>
              <w:t>Recorded local gate</w:t>
            </w:r>
          </w:p>
        </w:tc>
        <w:tc>
          <w:tcPr>
            <w:tcW w:type="dxa" w:w="2880"/>
            <w:vAlign w:val="center"/>
          </w:tcPr>
          <w:p>
            <w:pPr>
              <w:spacing w:after="0"/>
            </w:pPr>
            <w:r/>
            <w:r>
              <w:rPr>
                <w:b w:val="0"/>
                <w:sz w:val="17"/>
              </w:rPr>
              <w:t>NOT RECORDED for current project</w:t>
            </w:r>
          </w:p>
        </w:tc>
        <w:tc>
          <w:tcPr>
            <w:tcW w:type="dxa" w:w="5328"/>
            <w:vAlign w:val="center"/>
          </w:tcPr>
          <w:p>
            <w:pPr>
              <w:spacing w:after="0"/>
            </w:pPr>
            <w:r/>
            <w:r>
              <w:rPr>
                <w:b w:val="0"/>
                <w:sz w:val="17"/>
              </w:rPr>
              <w:t>Last reported: 260/260 tests, lint and build clean (no ZIP or date). Re-run npm ci, lint, test, tsc, build and pytest and record the output.</w:t>
            </w:r>
          </w:p>
        </w:tc>
      </w:tr>
    </w:tbl>
    <w:p>
      <w:pPr>
        <w:spacing w:after="20"/>
      </w:pPr>
    </w:p>
    <w:p>
      <w:pPr>
        <w:pStyle w:val="Heading1"/>
      </w:pPr>
      <w:r>
        <w:t>4. Main files/components changed in the latest update</w:t>
      </w:r>
    </w:p>
    <w:tbl>
      <w:tblPr>
        <w:tblStyle w:val="TableGrid"/>
        <w:tblW w:type="auto" w:w="0"/>
        <w:jc w:val="center"/>
        <w:tblLook w:firstColumn="1" w:firstRow="1" w:lastColumn="0" w:lastRow="0" w:noHBand="0" w:noVBand="1" w:val="04A0"/>
      </w:tblPr>
      <w:tblGrid>
        <w:gridCol w:w="5112"/>
        <w:gridCol w:w="5112"/>
      </w:tblGrid>
      <w:tr>
        <w:tc>
          <w:tcPr>
            <w:tcW w:type="dxa" w:w="4320"/>
            <w:vAlign w:val="center"/>
            <w:shd w:fill="D9EAF7"/>
          </w:tcPr>
          <w:p>
            <w:pPr>
              <w:spacing w:after="0"/>
            </w:pPr>
            <w:r/>
            <w:r>
              <w:rPr>
                <w:b/>
                <w:sz w:val="17"/>
              </w:rPr>
              <w:t>File / component</w:t>
            </w:r>
          </w:p>
        </w:tc>
        <w:tc>
          <w:tcPr>
            <w:tcW w:type="dxa" w:w="6336"/>
            <w:vAlign w:val="center"/>
            <w:shd w:fill="D9EAF7"/>
          </w:tcPr>
          <w:p>
            <w:pPr>
              <w:spacing w:after="0"/>
            </w:pPr>
            <w:r/>
            <w:r>
              <w:rPr>
                <w:b/>
                <w:sz w:val="17"/>
              </w:rPr>
              <w:t>Change</w:t>
            </w:r>
          </w:p>
        </w:tc>
      </w:tr>
      <w:tr>
        <w:tc>
          <w:tcPr>
            <w:tcW w:type="dxa" w:w="4320"/>
            <w:vAlign w:val="center"/>
          </w:tcPr>
          <w:p>
            <w:pPr>
              <w:spacing w:after="0"/>
            </w:pPr>
            <w:r/>
            <w:r>
              <w:rPr>
                <w:b w:val="0"/>
                <w:sz w:val="17"/>
              </w:rPr>
              <w:t>src/App.tsx</w:t>
            </w:r>
          </w:p>
        </w:tc>
        <w:tc>
          <w:tcPr>
            <w:tcW w:type="dxa" w:w="6336"/>
            <w:vAlign w:val="center"/>
          </w:tcPr>
          <w:p>
            <w:pPr>
              <w:spacing w:after="0"/>
            </w:pPr>
            <w:r/>
            <w:r>
              <w:rPr>
                <w:b w:val="0"/>
                <w:sz w:val="17"/>
              </w:rPr>
              <w:t>Removed synthetic startup seeding; connects optimization to eligible dataset state; tracks bulk-download job ID and cancellation; accepts string symbol for bridge fetch.</w:t>
            </w:r>
          </w:p>
        </w:tc>
      </w:tr>
      <w:tr>
        <w:tc>
          <w:tcPr>
            <w:tcW w:type="dxa" w:w="4320"/>
            <w:vAlign w:val="center"/>
          </w:tcPr>
          <w:p>
            <w:pPr>
              <w:spacing w:after="0"/>
            </w:pPr>
            <w:r/>
            <w:r>
              <w:rPr>
                <w:b w:val="0"/>
                <w:sz w:val="17"/>
              </w:rPr>
              <w:t>src/components/OptimizationView.tsx</w:t>
            </w:r>
          </w:p>
        </w:tc>
        <w:tc>
          <w:tcPr>
            <w:tcW w:type="dxa" w:w="6336"/>
            <w:vAlign w:val="center"/>
          </w:tcPr>
          <w:p>
            <w:pPr>
              <w:spacing w:after="0"/>
            </w:pPr>
            <w:r/>
            <w:r>
              <w:rPr>
                <w:b w:val="0"/>
                <w:sz w:val="17"/>
              </w:rPr>
              <w:t>Removed generated-candle fallback; enforces eligible non-simulated provenance and minimum candle count; passes provenance to optimizer.</w:t>
            </w:r>
          </w:p>
        </w:tc>
      </w:tr>
      <w:tr>
        <w:tc>
          <w:tcPr>
            <w:tcW w:type="dxa" w:w="4320"/>
            <w:vAlign w:val="center"/>
          </w:tcPr>
          <w:p>
            <w:pPr>
              <w:spacing w:after="0"/>
            </w:pPr>
            <w:r/>
            <w:r>
              <w:rPr>
                <w:b w:val="0"/>
                <w:sz w:val="17"/>
              </w:rPr>
              <w:t>src/engine/optimizer.ts</w:t>
            </w:r>
          </w:p>
        </w:tc>
        <w:tc>
          <w:tcPr>
            <w:tcW w:type="dxa" w:w="6336"/>
            <w:vAlign w:val="center"/>
          </w:tcPr>
          <w:p>
            <w:pPr>
              <w:spacing w:after="0"/>
            </w:pPr>
            <w:r/>
            <w:r>
              <w:rPr>
                <w:b w:val="0"/>
                <w:sz w:val="17"/>
              </w:rPr>
              <w:t>Candle validation; 20% final holdout reservation; development-only IS/OOS split; provenance-based research eligibility; holdout metadata.</w:t>
            </w:r>
          </w:p>
        </w:tc>
      </w:tr>
      <w:tr>
        <w:tc>
          <w:tcPr>
            <w:tcW w:type="dxa" w:w="4320"/>
            <w:vAlign w:val="center"/>
          </w:tcPr>
          <w:p>
            <w:pPr>
              <w:spacing w:after="0"/>
            </w:pPr>
            <w:r/>
            <w:r>
              <w:rPr>
                <w:b w:val="0"/>
                <w:sz w:val="17"/>
              </w:rPr>
              <w:t>src/engine/backtester.ts</w:t>
            </w:r>
          </w:p>
        </w:tc>
        <w:tc>
          <w:tcPr>
            <w:tcW w:type="dxa" w:w="6336"/>
            <w:vAlign w:val="center"/>
          </w:tcPr>
          <w:p>
            <w:pPr>
              <w:spacing w:after="0"/>
            </w:pPr>
            <w:r/>
            <w:r>
              <w:rPr>
                <w:b w:val="0"/>
                <w:sz w:val="17"/>
              </w:rPr>
              <w:t>Strict candle validation; missing strategy executor now throws instead of silently falling back.</w:t>
            </w:r>
          </w:p>
        </w:tc>
      </w:tr>
      <w:tr>
        <w:tc>
          <w:tcPr>
            <w:tcW w:type="dxa" w:w="4320"/>
            <w:vAlign w:val="center"/>
          </w:tcPr>
          <w:p>
            <w:pPr>
              <w:spacing w:after="0"/>
            </w:pPr>
            <w:r/>
            <w:r>
              <w:rPr>
                <w:b w:val="0"/>
                <w:sz w:val="17"/>
              </w:rPr>
              <w:t>src/types/forex.ts</w:t>
            </w:r>
          </w:p>
        </w:tc>
        <w:tc>
          <w:tcPr>
            <w:tcW w:type="dxa" w:w="6336"/>
            <w:vAlign w:val="center"/>
          </w:tcPr>
          <w:p>
            <w:pPr>
              <w:spacing w:after="0"/>
            </w:pPr>
            <w:r/>
            <w:r>
              <w:rPr>
                <w:b w:val="0"/>
                <w:sz w:val="17"/>
              </w:rPr>
              <w:t>Optional reservedTestBars and reservedTestStartTime fields added to OptimizationReport.</w:t>
            </w:r>
          </w:p>
        </w:tc>
      </w:tr>
      <w:tr>
        <w:tc>
          <w:tcPr>
            <w:tcW w:type="dxa" w:w="4320"/>
            <w:vAlign w:val="center"/>
          </w:tcPr>
          <w:p>
            <w:pPr>
              <w:spacing w:after="0"/>
            </w:pPr>
            <w:r/>
            <w:r>
              <w:rPr>
                <w:b w:val="0"/>
                <w:sz w:val="17"/>
              </w:rPr>
              <w:t>src/components/DataManagerView.tsx</w:t>
            </w:r>
          </w:p>
        </w:tc>
        <w:tc>
          <w:tcPr>
            <w:tcW w:type="dxa" w:w="6336"/>
            <w:vAlign w:val="center"/>
          </w:tcPr>
          <w:p>
            <w:pPr>
              <w:spacing w:after="0"/>
            </w:pPr>
            <w:r/>
            <w:r>
              <w:rPr>
                <w:b w:val="0"/>
                <w:sz w:val="17"/>
              </w:rPr>
              <w:t>Stored-data check, cancel callback, M10/M30 and XAUUSDm options, and related symbol handling.</w:t>
            </w:r>
          </w:p>
        </w:tc>
      </w:tr>
      <w:tr>
        <w:tc>
          <w:tcPr>
            <w:tcW w:type="dxa" w:w="4320"/>
            <w:vAlign w:val="center"/>
          </w:tcPr>
          <w:p>
            <w:pPr>
              <w:spacing w:after="0"/>
            </w:pPr>
            <w:r/>
            <w:r>
              <w:rPr>
                <w:b w:val="0"/>
                <w:sz w:val="17"/>
              </w:rPr>
              <w:t>src/engine/__tests__/backtestValidation.test.ts</w:t>
            </w:r>
          </w:p>
        </w:tc>
        <w:tc>
          <w:tcPr>
            <w:tcW w:type="dxa" w:w="6336"/>
            <w:vAlign w:val="center"/>
          </w:tcPr>
          <w:p>
            <w:pPr>
              <w:spacing w:after="0"/>
            </w:pPr>
            <w:r/>
            <w:r>
              <w:rPr>
                <w:b w:val="0"/>
                <w:sz w:val="17"/>
              </w:rPr>
              <w:t>Expanded validation, executor-unavailable, invalid OHLC, and holdout tests.</w:t>
            </w:r>
          </w:p>
        </w:tc>
      </w:tr>
      <w:tr>
        <w:tc>
          <w:tcPr>
            <w:tcW w:type="dxa" w:w="4320"/>
            <w:vAlign w:val="center"/>
          </w:tcPr>
          <w:p>
            <w:pPr>
              <w:spacing w:after="0"/>
            </w:pPr>
            <w:r/>
            <w:r>
              <w:rPr>
                <w:b w:val="0"/>
                <w:sz w:val="17"/>
              </w:rPr>
              <w:t>src/engine/__tests__/strategyExecution.test.ts</w:t>
            </w:r>
          </w:p>
        </w:tc>
        <w:tc>
          <w:tcPr>
            <w:tcW w:type="dxa" w:w="6336"/>
            <w:vAlign w:val="center"/>
          </w:tcPr>
          <w:p>
            <w:pPr>
              <w:spacing w:after="0"/>
            </w:pPr>
            <w:r/>
            <w:r>
              <w:rPr>
                <w:b w:val="0"/>
                <w:sz w:val="17"/>
              </w:rPr>
              <w:t>Cancellation fixture extended to 120 candles.</w:t>
            </w:r>
          </w:p>
        </w:tc>
      </w:tr>
      <w:tr>
        <w:tc>
          <w:tcPr>
            <w:tcW w:type="dxa" w:w="4320"/>
            <w:vAlign w:val="center"/>
          </w:tcPr>
          <w:p>
            <w:pPr>
              <w:spacing w:after="0"/>
            </w:pPr>
            <w:r/>
            <w:r>
              <w:rPr>
                <w:b w:val="0"/>
                <w:sz w:val="17"/>
              </w:rPr>
              <w:t>docs/PHASE-2-4-IMPLEMENTATION-AND-ACCEPTANCE.md; README.md; IMPLEMENTATION_NOTES.md; PATCH_NOTES.md</w:t>
            </w:r>
          </w:p>
        </w:tc>
        <w:tc>
          <w:tcPr>
            <w:tcW w:type="dxa" w:w="6336"/>
            <w:vAlign w:val="center"/>
          </w:tcPr>
          <w:p>
            <w:pPr>
              <w:spacing w:after="0"/>
            </w:pPr>
            <w:r/>
            <w:r>
              <w:rPr>
                <w:b w:val="0"/>
                <w:sz w:val="17"/>
              </w:rPr>
              <w:t>Added/updated implementation and acceptance notes.</w:t>
            </w:r>
          </w:p>
        </w:tc>
      </w:tr>
    </w:tbl>
    <w:p>
      <w:pPr>
        <w:spacing w:after="20"/>
      </w:pPr>
    </w:p>
    <w:p>
      <w:pPr>
        <w:pStyle w:val="Heading1"/>
      </w:pPr>
      <w:r>
        <w:t>5. Important caveats and open items</w:t>
      </w:r>
    </w:p>
    <w:p>
      <w:pPr>
        <w:pStyle w:val="ListBullet"/>
        <w:spacing w:after="60"/>
      </w:pPr>
      <w:r>
        <w:t>Stored-data persistence and in-memory dataset selection are not yet fully joined end-to-end in the latest update. In particular, the app’s React dataset list may not repopulate eligible downloaded datasets after a restart, so do not assume persisted candles automatically become available to OptimizationView.</w:t>
      </w:r>
      <w:r>
        <w:t xml:space="preserve"> Update 27 Oct: the owner reports that activation of stored candles as research datasets is fixed; confirm it survives a full restart.</w:t>
      </w:r>
    </w:p>
    <w:p>
      <w:pPr>
        <w:pStyle w:val="ListBullet"/>
        <w:spacing w:after="60"/>
      </w:pPr>
      <w:r>
        <w:t>Data provenance metadata is currently carried in in-memory DatasetRecord state and is not persisted to SQLite by this update. After restart, authentic data may need provenance reconstruction/persistence before it can be considered research-eligible.</w:t>
      </w:r>
      <w:r>
        <w:t xml:space="preserve"> Update 27 Oct: persistence of provenance is not confirmed by the activation fix; check that a restarted app still marks genuine MT5 data as eligible and simulated data as ineligible.</w:t>
      </w:r>
    </w:p>
    <w:p>
      <w:pPr>
        <w:pStyle w:val="ListBullet"/>
        <w:spacing w:after="60"/>
      </w:pPr>
      <w:r>
        <w:t>The current App symbol and Data Manager XAUUSDm symbol can differ (for example, base XAUUSD versus broker-specific XAUUSDm). Exact-symbol filtering may prevent a downloaded XAUUSDm dataset from being selected by an XAUUSD optimization context until that integration is addressed.</w:t>
      </w:r>
      <w:r>
        <w:t xml:space="preserve"> Update 27 Oct: the bulk download now stores under the canonical symbol and calls the bridge with the broker symbol; matching between Data Manager and Backtesting Lab still needs a test.</w:t>
      </w:r>
    </w:p>
    <w:p>
      <w:pPr>
        <w:pStyle w:val="ListBullet"/>
        <w:spacing w:after="60"/>
      </w:pPr>
      <w:r>
        <w:t>Retry/resume is not a verified automatic resume workflow. The append-only storage design may help make repeat downloads idempotent, but this requires a real acceptance test.</w:t>
      </w:r>
    </w:p>
    <w:p>
      <w:pPr>
        <w:pStyle w:val="ListBullet"/>
        <w:spacing w:after="60"/>
      </w:pPr>
      <w:r>
        <w:rPr>
          <w:b w:val="0"/>
        </w:rPr>
        <w:t>The attached main.py is the pre-fix copy, so the paging fix (D39) is owner-reported only and must be rechecked in code.</w:t>
      </w:r>
    </w:p>
    <w:p>
      <w:pPr>
        <w:pStyle w:val="ListBullet"/>
        <w:spacing w:after="60"/>
      </w:pPr>
      <w:r>
        <w:rPr>
          <w:b w:val="0"/>
        </w:rPr>
        <w:t>End of history and depth: a download whose history ends exactly on a full page may be marked FAILED (D41), and M1 depth is capped near 2.7 years per job (D42).</w:t>
      </w:r>
    </w:p>
    <w:p>
      <w:pPr>
        <w:pStyle w:val="ListBullet"/>
        <w:spacing w:after="60"/>
      </w:pPr>
      <w:r>
        <w:t>Stage B batch runner/saved-report behavior and Stage W scheduler/risk-manager/watchdog were not exhaustively audited in this update. Stage S one-week demo soak and Stage L attended live pilot are future/manual stages.</w:t>
      </w:r>
    </w:p>
    <w:p>
      <w:pPr>
        <w:pStyle w:val="ListBullet"/>
        <w:spacing w:after="60"/>
      </w:pPr>
      <w:r>
        <w:t>Do not treat this archive as certified for production or live trading. It does not establish trading accuracy, complete broker history, production reliability, or equivalence with TradingView.</w:t>
      </w:r>
    </w:p>
    <w:p>
      <w:pPr>
        <w:pStyle w:val="Heading1"/>
      </w:pPr>
      <w:r>
        <w:t>6. Recommended next steps</w:t>
      </w:r>
    </w:p>
    <w:p>
      <w:pPr>
        <w:pStyle w:val="ListNumber"/>
        <w:spacing w:after="60"/>
      </w:pPr>
      <w:r>
        <w:t>Back up the project and data/zaboraa.sqlite; extract the updated ZIP to a separate folder and preserve the local .env file.</w:t>
      </w:r>
    </w:p>
    <w:p>
      <w:pPr>
        <w:pStyle w:val="ListNumber"/>
        <w:spacing w:after="60"/>
      </w:pPr>
      <w:r>
        <w:t>Install dependencies and run npm ci, npm run lint, npm test, and npm run build. Record each command’s actual result.</w:t>
      </w:r>
    </w:p>
    <w:p>
      <w:pPr>
        <w:pStyle w:val="ListNumber"/>
        <w:spacing w:after="60"/>
      </w:pPr>
      <w:r>
        <w:rPr>
          <w:b w:val="0"/>
        </w:rPr>
        <w:t>Send the fixed mt5-bridge/main.py and the dataset-activation files for a code recheck; add pytest cases for the date_to branch and server tests for the broker-symbol mapping.</w:t>
      </w:r>
    </w:p>
    <w:p>
      <w:pPr>
        <w:pStyle w:val="ListNumber"/>
        <w:spacing w:after="60"/>
      </w:pPr>
      <w:r>
        <w:t>Confirm the Active Research Dataset fix: restart the app and check that stored candles reload into the research catalog with persisted provenance; add a restart test.</w:t>
      </w:r>
    </w:p>
    <w:p>
      <w:pPr>
        <w:pStyle w:val="ListNumber"/>
        <w:spacing w:after="60"/>
      </w:pPr>
      <w:r>
        <w:t>Resolve any remaining XAUUSD versus XAUUSDm selection mismatch, then verify all eight timeframes for EURUSDm and XAUUSDm on the Exness demo terminal: repeat the download (expect 0 added bars), audit page boundaries, confirm the forming candle is absent.</w:t>
      </w:r>
    </w:p>
    <w:p>
      <w:pPr>
        <w:pStyle w:val="ListNumber"/>
        <w:spacing w:after="60"/>
      </w:pPr>
      <w:r>
        <w:rPr>
          <w:b w:val="0"/>
        </w:rPr>
        <w:t>Handle end of history (D41) and measure the broker’s real M1 depth before deciding whether to raise the 200-page cap (D42).</w:t>
      </w:r>
    </w:p>
    <w:p>
      <w:pPr>
        <w:pStyle w:val="ListNumber"/>
        <w:spacing w:after="60"/>
      </w:pPr>
      <w:r>
        <w:t>Run the Phase 2 safety checks only on the intended demo account and with explicit awareness that /kill affects account positions/orders.</w:t>
      </w:r>
    </w:p>
    <w:p>
      <w:pPr>
        <w:pStyle w:val="ListNumber"/>
        <w:spacing w:after="60"/>
      </w:pPr>
      <w:r>
        <w:t>Complete Phase 4 holdout-isolation tests and the three-sample TradingView/Pine comparison.</w:t>
      </w:r>
    </w:p>
    <w:p>
      <w:pPr>
        <w:pStyle w:val="ListNumber"/>
        <w:spacing w:after="60"/>
      </w:pPr>
      <w:r>
        <w:t>Only after the above, start the one-week demo soak and document evidence/results; keep any live pilot attended and separately approved.</w:t>
      </w:r>
    </w:p>
    <w:p>
      <w:pPr>
        <w:pStyle w:val="Heading1"/>
      </w:pPr>
      <w:r>
        <w:t>7. Archive and verification record</w:t>
      </w:r>
    </w:p>
    <w:p>
      <w:r>
        <w:rPr>
          <w:b/>
        </w:rPr>
        <w:t xml:space="preserve">Latest ZIP: </w:t>
      </w:r>
      <w:r>
        <w:t>Zaboraa-FX-Phase2-4-Updated.zip</w:t>
      </w:r>
    </w:p>
    <w:p>
      <w:r>
        <w:rPr>
          <w:b/>
        </w:rPr>
        <w:t xml:space="preserve">Archive check: </w:t>
      </w:r>
      <w:r>
        <w:t>ZIP integrity check passed; 85 entries; paths retained under Zabura-FX-03/. SHA-256: 446bec1e3011c4c0013e8c2177282c3cd2e736552c258ad2b6a08f0dbdf5da1d.</w:t>
      </w:r>
    </w:p>
    <w:p>
      <w:r>
        <w:rPr>
          <w:b/>
        </w:rPr>
        <w:t xml:space="preserve">Safety note: </w:t>
      </w:r>
      <w:r>
        <w:t>No live order was submitted and no position was closed as part of this code update or the 27 October fixes.</w:t>
      </w:r>
    </w:p>
    <w:p>
      <w:r>
        <w:rPr>
          <w:b/>
        </w:rPr>
        <w:t xml:space="preserve">27 Oct 2026 record: </w:t>
      </w:r>
      <w:r>
        <w:t>The symbol-suffix, date-format, paging and dataset-activation fixes are owner-reported. The editor read server.ts (changes seen) and main.py (pre-fix copy, change not seen). No test, lint, build or pytest was run, no new ZIP hash exists, and the 4.4 ZIP hash above applies to the earlier archive only.</w:t>
      </w:r>
    </w:p>
    <w:p>
      <w:r>
        <w:br w:type="page"/>
      </w:r>
    </w:p>
    <w:p>
      <w:pPr>
        <w:pStyle w:val="Heading1"/>
      </w:pPr>
      <w:r>
        <w:t>8. Change Log &amp; Current Status — 28 October 2026 (Version 4.6)</w:t>
      </w:r>
    </w:p>
    <w:p>
      <w:r>
        <w:t>This addendum records the further changes discussed after version 4.5. Status distinguishes code supplied or inspected, owner-reported outcomes, test output actually reported by the owner, and items still unresolved. It does not certify the application as production-ready or safe for live trading.</w:t>
      </w:r>
    </w:p>
    <w:p>
      <w:pPr>
        <w:pStyle w:val="Heading2"/>
      </w:pPr>
      <w:r>
        <w:t>8.1 Dataset persistence and browser refresh</w:t>
      </w:r>
    </w:p>
    <w:p>
      <w:pPr>
        <w:pStyle w:val="ListBullet"/>
      </w:pPr>
      <w:r>
        <w:t>Owner-confirmed resolved: Active Research Datasets were disappearing or returning to (0) after refresh.</w:t>
      </w:r>
    </w:p>
    <w:p>
      <w:pPr>
        <w:pStyle w:val="ListBullet"/>
      </w:pPr>
      <w:r>
        <w:t>A dataset restoration patch was supplied to hydrate the frontend dataset list from the backend catalog on application mount, load saved candle partitions, and activate stored data through Data Manager.</w:t>
      </w:r>
    </w:p>
    <w:p>
      <w:pPr>
        <w:pStyle w:val="ListBullet"/>
      </w:pPr>
      <w:r>
        <w:t>Vite configuration was updated to ignore SQLite database and sidecar-file writes to reduce unwanted browser reloads during downloads.</w:t>
      </w:r>
    </w:p>
    <w:p>
      <w:pPr>
        <w:pStyle w:val="ListBullet"/>
      </w:pPr>
      <w:r>
        <w:t>Backend catalog endpoint /api/data/catalog was reused; /api/data/load is used to restore the stored candle partitions.</w:t>
      </w:r>
    </w:p>
    <w:p>
      <w:pPr>
        <w:pStyle w:val="ListBullet"/>
      </w:pPr>
      <w:r>
        <w:t>Acceptance still recommended: restart the app fully, refresh the browser, and verify both restored candle counts and research provenance. Do not infer provenance solely from the presence of stored candles.</w:t>
      </w:r>
    </w:p>
    <w:p>
      <w:pPr>
        <w:pStyle w:val="Heading2"/>
      </w:pPr>
      <w:r>
        <w:t>8.2 Backtest strategy execution</w:t>
      </w:r>
    </w:p>
    <w:p>
      <w:pPr>
        <w:pStyle w:val="ListBullet"/>
      </w:pPr>
      <w:r>
        <w:t>A Liquidity Hunt strategy executor and strategy-resolution changes were supplied in the Strategy Runner/API Routes patch. The intended rule interpretation is a liquidity sweep beyond a prior lookback range followed by a close back inside, with a stop beyond the sweep wick and a configurable risk/reward target.</w:t>
      </w:r>
    </w:p>
    <w:p>
      <w:pPr>
        <w:pStyle w:val="ListBullet"/>
      </w:pPr>
      <w:r>
        <w:t>A subsequent two-file patch was supplied to route BacktestView through a contract-based strategy runner and add src/engine/contractBacktest.ts.</w:t>
      </w:r>
    </w:p>
    <w:p>
      <w:pPr>
        <w:pStyle w:val="ListBullet"/>
      </w:pPr>
      <w:r>
        <w:t>CURRENT STATUS: OPEN / NOT ACCEPTANCE-VERIFIED. The owner reported that BACKTEST_STRATEGY_UNAVAILABLE persisted after an earlier fix. The latest two-file runner patch has not yet been confirmed by a new local test run. Do not mark this issue resolved until the exact failing strategy can execute and a regression test passes.</w:t>
      </w:r>
    </w:p>
    <w:p>
      <w:pPr>
        <w:pStyle w:val="ListBullet"/>
      </w:pPr>
      <w:r>
        <w:t>Confirm the intended Liquidity Hunt rules against the saved strategy specification before relying on results. Unknown strategies should fail closed rather than silently run a different strategy.</w:t>
      </w:r>
    </w:p>
    <w:p>
      <w:pPr>
        <w:pStyle w:val="Heading2"/>
      </w:pPr>
      <w:r>
        <w:t>8.3 API compatibility routes and repeated 404s</w:t>
      </w:r>
    </w:p>
    <w:p>
      <w:pPr>
        <w:pStyle w:val="ListBullet"/>
      </w:pPr>
      <w:r>
        <w:t>A server patch added legacy compatibility handlers for GET /candles, GET /audit, and GET /load, while retaining the /api/data/* routes.</w:t>
      </w:r>
    </w:p>
    <w:p>
      <w:pPr>
        <w:pStyle w:val="ListBullet"/>
      </w:pPr>
      <w:r>
        <w:t>The /candles compatibility route validates symbol/timeframe/count and forwards the request to the configured MT5 bridge; it should return a meaningful bridge/configuration error rather than a route-level 404 when the bridge is unavailable.</w:t>
      </w:r>
    </w:p>
    <w:p>
      <w:pPr>
        <w:pStyle w:val="ListBullet"/>
      </w:pPr>
      <w:r>
        <w:t>STATUS: PATCH SUPPLIED; runtime acceptance and polling-loop diagnosis remain pending. If requests repeat after successful responses, use the browser Network tab's Initiator column to find the caller and stop any unintended polling loop.</w:t>
      </w:r>
    </w:p>
    <w:p>
      <w:pPr>
        <w:pStyle w:val="Heading2"/>
      </w:pPr>
      <w:r>
        <w:t>8.4 TypeScript errors and test/build evidence reported on 28 October</w:t>
      </w:r>
    </w:p>
    <w:p>
      <w:r>
        <w:t>The owner reported the following local command results:</w:t>
      </w:r>
    </w:p>
    <w:p>
      <w:pPr>
        <w:pStyle w:val="ListBullet"/>
      </w:pPr>
      <w:r>
        <w:t>npm test: PASS — 17 test files, 262 tests passed (reported terminal output).</w:t>
      </w:r>
    </w:p>
    <w:p>
      <w:pPr>
        <w:pStyle w:val="ListBullet"/>
      </w:pPr>
      <w:r>
        <w:t>npm run lint (runs tsc --noEmit): FAIL — two TypeScript errors were reported: (1) STORED_UNVERIFIED was missing from the ProvenanceType union used by DataProvenance; (2) paramsSchema was not a recognized property of StrategyContract.</w:t>
      </w:r>
    </w:p>
    <w:p>
      <w:pPr>
        <w:pStyle w:val="ListBullet"/>
      </w:pPr>
      <w:r>
        <w:t>npm run build: PASS — Vite production build completed in 8.71 seconds. Vite emitted a non-fatal warning that a minified chunk exceeded 500 kB.</w:t>
      </w:r>
    </w:p>
    <w:p>
      <w:pPr>
        <w:pStyle w:val="ListBullet"/>
      </w:pPr>
      <w:r>
        <w:t>A ZIP containing the three targeted files src/App.tsx, src/types/forex.ts, and src/services/builtInStrategies.ts was supplied to address the two TypeScript errors. A successful post-patch lint/type-check has not been reported yet.</w:t>
      </w:r>
    </w:p>
    <w:p>
      <w:pPr>
        <w:pStyle w:val="ListBullet"/>
      </w:pPr>
      <w:r>
        <w:t>The test output includes a development-only warning that ENCRYPTION_MASTER_KEY is unset and an ephemeral key is enabled only under NODE_ENV=development plus ALLOW_EPHEMERAL_KEY=true. Never use that mode with real broker credentials or in production.</w:t>
      </w:r>
    </w:p>
    <w:p>
      <w:pPr>
        <w:pStyle w:val="Heading2"/>
      </w:pPr>
      <w:r>
        <w:t>8.5 Strategy persistence / QuickJS and prior compatibility work</w:t>
      </w:r>
    </w:p>
    <w:p>
      <w:pPr>
        <w:pStyle w:val="ListBullet"/>
      </w:pPr>
      <w:r>
        <w:t>A QuickJS strategy persistence patch was previously supplied to correct template-literal newline escaping issues in quickjsSandbox.ts.</w:t>
      </w:r>
    </w:p>
    <w:p>
      <w:pPr>
        <w:pStyle w:val="ListBullet"/>
      </w:pPr>
      <w:r>
        <w:t>Earlier supplied patches cover broker symbol suffix mapping, date-bounded candle paging/empty-page handling, clearable backtest history, and preventing Fetch Data from submitting the form and refreshing the page.</w:t>
      </w:r>
    </w:p>
    <w:p>
      <w:pPr>
        <w:pStyle w:val="ListBullet"/>
      </w:pPr>
      <w:r>
        <w:t>These earlier patches should be treated as change history, not proof that every integrated path is currently passing end-to-end acceptance.</w:t>
      </w:r>
    </w:p>
    <w:p>
      <w:pPr>
        <w:pStyle w:val="Heading2"/>
      </w:pPr>
      <w:r>
        <w:t>8.6 Updated action list / release gates</w:t>
      </w:r>
    </w:p>
    <w:p>
      <w:pPr>
        <w:pStyle w:val="ListNumber"/>
      </w:pPr>
      <w:r>
        <w:t>Re-run npm run lint after applying the three-file TypeScript patch; record the exact result.</w:t>
      </w:r>
    </w:p>
    <w:p>
      <w:pPr>
        <w:pStyle w:val="ListNumber"/>
      </w:pPr>
      <w:r>
        <w:t>Re-run npm test and npm run build after integrating all patches into the same working tree; save the console output and confirm no files were accidentally omitted.</w:t>
      </w:r>
    </w:p>
    <w:p>
      <w:pPr>
        <w:pStyle w:val="ListNumber"/>
      </w:pPr>
      <w:r>
        <w:t>Resolve BACKTEST_STRATEGY_UNAVAILABLE at its actual source: verify the selected strategy's ID, display name, stored source/contract, runner registration, and the runner used by BacktestView. Add a regression test that reproduces the exact strategy selection path.</w:t>
      </w:r>
    </w:p>
    <w:p>
      <w:pPr>
        <w:pStyle w:val="ListNumber"/>
      </w:pPr>
      <w:r>
        <w:t>Verify GET /candles, /audit, and /load in the browser Network tab. Check response status and Initiator; ensure no caller polls continuously without a stop condition.</w:t>
      </w:r>
    </w:p>
    <w:p>
      <w:pPr>
        <w:pStyle w:val="ListNumber"/>
      </w:pPr>
      <w:r>
        <w:t>Restart the app and browser to verify stored datasets rehydrate, correct counts appear, and provenance remains valid.</w:t>
      </w:r>
    </w:p>
    <w:p>
      <w:pPr>
        <w:pStyle w:val="ListNumber"/>
      </w:pPr>
      <w:r>
        <w:t>Run bridge pytest tests and test date_to paging against the MT5 demo terminal, including page boundaries, end-of-history, and symbol suffix handling.</w:t>
      </w:r>
    </w:p>
    <w:p>
      <w:pPr>
        <w:pStyle w:val="ListNumber"/>
      </w:pPr>
      <w:r>
        <w:t>Keep ALLOW_TRADING=false and ALLOW_LIVE=false for validation. Do not run /kill without explicit confirmation of its account-wide effects.</w:t>
      </w:r>
    </w:p>
    <w:p>
      <w:pPr>
        <w:pStyle w:val="ListNumber"/>
      </w:pPr>
      <w:r>
        <w:t>Only progress to demo soak or any live pilot after the relevant acceptance gates are documented. No claim of profitability, TradingView equivalence, or production readiness is established by these code changes.</w:t>
      </w:r>
    </w:p>
    <w:p>
      <w:pPr>
        <w:pStyle w:val="Heading2"/>
      </w:pPr>
      <w:r>
        <w:t>8.7 Current overall status</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t>Area</w:t>
            </w:r>
          </w:p>
        </w:tc>
        <w:tc>
          <w:tcPr>
            <w:tcW w:type="dxa" w:w="3408"/>
          </w:tcPr>
          <w:p>
            <w:r>
              <w:t>Status as of 28 Oct 2026</w:t>
            </w:r>
          </w:p>
        </w:tc>
        <w:tc>
          <w:tcPr>
            <w:tcW w:type="dxa" w:w="3408"/>
          </w:tcPr>
          <w:p>
            <w:r>
              <w:t>Evidence / next step</w:t>
            </w:r>
          </w:p>
        </w:tc>
      </w:tr>
      <w:tr>
        <w:tc>
          <w:tcPr>
            <w:tcW w:type="dxa" w:w="3408"/>
          </w:tcPr>
          <w:p>
            <w:r>
              <w:t>Dataset refresh restoration</w:t>
            </w:r>
          </w:p>
        </w:tc>
        <w:tc>
          <w:tcPr>
            <w:tcW w:type="dxa" w:w="3408"/>
          </w:tcPr>
          <w:p>
            <w:r>
              <w:t>Owner-confirmed resolved; restart acceptance pending</w:t>
            </w:r>
          </w:p>
        </w:tc>
        <w:tc>
          <w:tcPr>
            <w:tcW w:type="dxa" w:w="3408"/>
          </w:tcPr>
          <w:p>
            <w:r>
              <w:t>Verify after full app restart.</w:t>
            </w:r>
          </w:p>
        </w:tc>
      </w:tr>
      <w:tr>
        <w:tc>
          <w:tcPr>
            <w:tcW w:type="dxa" w:w="3408"/>
          </w:tcPr>
          <w:p>
            <w:r>
              <w:t>Strategy executor</w:t>
            </w:r>
          </w:p>
        </w:tc>
        <w:tc>
          <w:tcPr>
            <w:tcW w:type="dxa" w:w="3408"/>
          </w:tcPr>
          <w:p>
            <w:r>
              <w:t>OPEN</w:t>
            </w:r>
          </w:p>
        </w:tc>
        <w:tc>
          <w:tcPr>
            <w:tcW w:type="dxa" w:w="3408"/>
          </w:tcPr>
          <w:p>
            <w:r>
              <w:t>BACKTEST_STRATEGY_UNAVAILABLE persisted after an earlier patch; latest runner patch needs local confirmation.</w:t>
            </w:r>
          </w:p>
        </w:tc>
      </w:tr>
      <w:tr>
        <w:tc>
          <w:tcPr>
            <w:tcW w:type="dxa" w:w="3408"/>
          </w:tcPr>
          <w:p>
            <w:r>
              <w:t>Legacy API aliases</w:t>
            </w:r>
          </w:p>
        </w:tc>
        <w:tc>
          <w:tcPr>
            <w:tcW w:type="dxa" w:w="3408"/>
          </w:tcPr>
          <w:p>
            <w:r>
              <w:t>Patch supplied; acceptance pending</w:t>
            </w:r>
          </w:p>
        </w:tc>
        <w:tc>
          <w:tcPr>
            <w:tcW w:type="dxa" w:w="3408"/>
          </w:tcPr>
          <w:p>
            <w:r>
              <w:t>Check 404s, response bodies, and request initiators.</w:t>
            </w:r>
          </w:p>
        </w:tc>
      </w:tr>
      <w:tr>
        <w:tc>
          <w:tcPr>
            <w:tcW w:type="dxa" w:w="3408"/>
          </w:tcPr>
          <w:p>
            <w:r>
              <w:t>TypeScript type-check</w:t>
            </w:r>
          </w:p>
        </w:tc>
        <w:tc>
          <w:tcPr>
            <w:tcW w:type="dxa" w:w="3408"/>
          </w:tcPr>
          <w:p>
            <w:r>
              <w:t>Previously failed; patch supplied</w:t>
            </w:r>
          </w:p>
        </w:tc>
        <w:tc>
          <w:tcPr>
            <w:tcW w:type="dxa" w:w="3408"/>
          </w:tcPr>
          <w:p>
            <w:r>
              <w:t>Re-run npm run lint.</w:t>
            </w:r>
          </w:p>
        </w:tc>
      </w:tr>
      <w:tr>
        <w:tc>
          <w:tcPr>
            <w:tcW w:type="dxa" w:w="3408"/>
          </w:tcPr>
          <w:p>
            <w:r>
              <w:t>Vitest</w:t>
            </w:r>
          </w:p>
        </w:tc>
        <w:tc>
          <w:tcPr>
            <w:tcW w:type="dxa" w:w="3408"/>
          </w:tcPr>
          <w:p>
            <w:r>
              <w:t>262/262 PASS (owner-reported)</w:t>
            </w:r>
          </w:p>
        </w:tc>
        <w:tc>
          <w:tcPr>
            <w:tcW w:type="dxa" w:w="3408"/>
          </w:tcPr>
          <w:p>
            <w:r>
              <w:t>Re-run after final integration.</w:t>
            </w:r>
          </w:p>
        </w:tc>
      </w:tr>
      <w:tr>
        <w:tc>
          <w:tcPr>
            <w:tcW w:type="dxa" w:w="3408"/>
          </w:tcPr>
          <w:p>
            <w:r>
              <w:t>Vite production build</w:t>
            </w:r>
          </w:p>
        </w:tc>
        <w:tc>
          <w:tcPr>
            <w:tcW w:type="dxa" w:w="3408"/>
          </w:tcPr>
          <w:p>
            <w:r>
              <w:t>PASS with chunk-size warning (owner-reported)</w:t>
            </w:r>
          </w:p>
        </w:tc>
        <w:tc>
          <w:tcPr>
            <w:tcW w:type="dxa" w:w="3408"/>
          </w:tcPr>
          <w:p>
            <w:r>
              <w:t>Review code splitting later; warning did not stop build.</w:t>
            </w:r>
          </w:p>
        </w:tc>
      </w:tr>
      <w:tr>
        <w:tc>
          <w:tcPr>
            <w:tcW w:type="dxa" w:w="3408"/>
          </w:tcPr>
          <w:p>
            <w:r>
              <w:t>MT5 end-to-end / live trading</w:t>
            </w:r>
          </w:p>
        </w:tc>
        <w:tc>
          <w:tcPr>
            <w:tcW w:type="dxa" w:w="3408"/>
          </w:tcPr>
          <w:p>
            <w:r>
              <w:t>NOT VERIFIED / NOT APPROVED</w:t>
            </w:r>
          </w:p>
        </w:tc>
        <w:tc>
          <w:tcPr>
            <w:tcW w:type="dxa" w:w="3408"/>
          </w:tcPr>
          <w:p>
            <w:r>
              <w:t>Demo acceptance required; no live-readiness claim.</w:t>
            </w:r>
          </w:p>
        </w:tc>
      </w:tr>
    </w:tbl>
    <w:p/>
    <w:p>
      <w:r>
        <w:rPr>
          <w:b/>
        </w:rPr>
        <w:t xml:space="preserve">Version 4.6 note: </w:t>
      </w:r>
      <w:r>
        <w:t>This is an implementation-plan addendum based on the supplied version 4.5 summary and subsequent conversation/test output. The master document's earlier sections are retained; only this dated addendum is appended.</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Zaboraa FX | Implementation Summary — updated 27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