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/>
          <w:b/>
          <w:i w:val="0"/>
          <w:color w:val="24313F"/>
          <w:sz w:val="62"/>
        </w:rPr>
        <w:t>大学学霸笔记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F66B0"/>
          <w:sz w:val="30"/>
        </w:rPr>
        <w:t>University Xueba Notes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i w:val="0"/>
          <w:color w:val="687787"/>
          <w:sz w:val="22"/>
        </w:rPr>
        <w:t>完整基础知识 · 可反复通读 · 双侧批注 · 图解与漫画 · 例题与推导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</w:tblGrid>
      <w:tr>
        <w:tc>
          <w:tcPr>
            <w:tcW w:type="dxa" w:w="2551"/>
            <w:shd w:fill="EAF2FB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24"/>
              </w:rPr>
              <w:t>读得懂</w:t>
            </w:r>
          </w:p>
          <w:p>
            <w:pPr>
              <w:keepNext w:val="0"/>
              <w:spacing w:before="0" w:after="8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正文像教材一样连续完整，第一次学习可以从头读。</w:t>
            </w:r>
          </w:p>
        </w:tc>
        <w:tc>
          <w:tcPr>
            <w:tcW w:type="dxa" w:w="2551"/>
            <w:shd w:fill="ECF6F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4D8B68"/>
                <w:sz w:val="24"/>
              </w:rPr>
              <w:t>读得熟</w:t>
            </w:r>
          </w:p>
          <w:p>
            <w:pPr>
              <w:keepNext w:val="0"/>
              <w:spacing w:before="0" w:after="8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同一册材料适合第二遍、第三遍继续通读，基础内容保持稳定。</w:t>
            </w:r>
          </w:p>
        </w:tc>
        <w:tc>
          <w:tcPr>
            <w:tcW w:type="dxa" w:w="2551"/>
            <w:shd w:fill="FFF3E8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E7893C"/>
                <w:sz w:val="24"/>
              </w:rPr>
              <w:t>写得下</w:t>
            </w:r>
          </w:p>
          <w:p>
            <w:pPr>
              <w:keepNext w:val="0"/>
              <w:spacing w:before="0" w:after="8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左右保留真实空白，课堂补充、自己的理解和错题都能写进去。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/>
          <w:b w:val="0"/>
          <w:i w:val="0"/>
          <w:color w:val="687787"/>
          <w:sz w:val="18"/>
        </w:rPr>
        <w:t>示范课程：计算机科学基础 · 渐近复杂度与算法增长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b w:val="0"/>
          <w:i w:val="0"/>
          <w:color w:val="7F8B97"/>
          <w:sz w:val="17"/>
        </w:rPr>
        <w:t>这份文件展示版式与内容密度。实际使用时按课程大纲、讲义、教材和题目生成整册。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701"/>
      </w:tblGrid>
      <w:tr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nil"/>
              <w:bottom w:val="nil"/>
              <w:right w:val="single" w:sz="5" w:color="D9E2EA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第一次读时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留白不是浪费</w:t>
            </w:r>
          </w:p>
          <w:p>
            <w:pPr>
              <w:keepNext w:val="0"/>
              <w:spacing w:before="0" w:after="8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可以写老师补充、自己突然想通的解释、习题中的反例。没有内容时就保持空白。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  <w:tc>
          <w:tcPr>
            <w:tcW w:type="dxa" w:w="703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4"/>
              </w:rPr>
              <w:t>使用方法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36"/>
              </w:rPr>
              <w:t>这本笔记为什么适合反复读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核心正文承担“教材”的职责：它必须给出足够完整的基础知识，让学习者在第一次学习时能顺着读懂，在之后的复习中也能把同一套表述重新读熟。它不会为了追求密度，把知识压成只有关键词和口诀的速查表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FF7D6"/>
                  <w:tcBorders>
                    <w:top w:val="nil"/>
                    <w:left w:val="single" w:sz="16" w:color="E7893C"/>
                    <w:bottom w:val="nil"/>
                    <w:right w:val="nil"/>
                  </w:tcBorders>
                  <w:tcMar>
                    <w:top w:w="90" w:type="dxa"/>
                    <w:start w:w="125" w:type="dxa"/>
                    <w:bottom w:w="90" w:type="dxa"/>
                    <w:end w:w="125" w:type="dxa"/>
                  </w:tcMar>
                </w:tcPr>
                <w:p>
                  <w:pPr>
                    <w:keepNext w:val="0"/>
                    <w:spacing w:after="40" w:before="0" w:line="274" w:lineRule="auto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E7893C"/>
                      <w:sz w:val="17"/>
                    </w:rPr>
                    <w:t>反复阅读的含义</w:t>
                  </w:r>
                </w:p>
                <w:p>
                  <w:pPr>
                    <w:keepNext w:val="0"/>
                    <w:spacing w:before="0" w:after="0" w:line="276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反复既包含书内对重要基础知识的适度重现，也包含学习者自己把同一本材料从头到尾读很多遍。后者要求正文结构稳定、叙述连续、术语一致。</w:t>
                  </w:r>
                </w:p>
              </w:tc>
            </w:tr>
          </w:tbl>
          <w:p/>
          <w:p>
            <w:pPr>
              <w:spacing w:after="80"/>
            </w:pP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建议的三种阅读状态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第一遍：把它当教材读。重点是理解概念和推导，不追求记住全部细节。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第二遍：开始在两侧写自己的话，标出“我原来为什么会误解”。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第三遍及以后：快速通读正文，在关键定义和典型例题处主动停下来回忆。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边栏承担什么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边栏只放确实有帮助的内容，例如先修提醒、易错点、一个能建立直觉的小漫画、术语英文名、与后文的联系。边栏大部分空间应该留给读者自己。</w:t>
            </w:r>
          </w:p>
        </w:tc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single" w:sz="5" w:color="D9E2EA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第二次以后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主动回忆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读完一页后，可以遮住正文，只看边栏关键词，尝试说出本页内容。</w:t>
            </w:r>
          </w:p>
          <w:p>
            <w:pPr>
              <w:keepNext w:val="0"/>
              <w:spacing w:before="0" w:after="60" w:line="274" w:lineRule="auto"/>
              <w:jc w:val="left"/>
              <w:shd w:fill="ECF6F0"/>
            </w:pPr>
            <w:r>
              <w:rPr>
                <w:rFonts w:ascii="Noto Sans CJK SC" w:hAnsi="Noto Sans CJK SC" w:eastAsia="Noto Sans CJK SC"/>
                <w:b/>
                <w:i w:val="0"/>
                <w:color w:val="4D8B68"/>
                <w:sz w:val="15"/>
              </w:rPr>
              <w:t>阅读痕迹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建议保留不同轮次的笔迹。第二遍写的问题，第三遍往往已经会觉得简单，这本身就是进步的证据。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701"/>
      </w:tblGrid>
      <w:tr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nil"/>
              <w:bottom w:val="nil"/>
              <w:right w:val="single" w:sz="5" w:color="D9E2EA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先修检查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你应该已经知道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9"/>
              </w:rPr>
              <w:t>函数与变量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9"/>
              </w:rPr>
              <w:t>基本代数运算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9"/>
              </w:rPr>
              <w:t>循环与数组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9"/>
              </w:rPr>
              <w:t>“输入规模 n”是什么意思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  <w:tc>
          <w:tcPr>
            <w:tcW w:type="dxa" w:w="703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4"/>
              </w:rPr>
              <w:t>第 1 章 · 渐近复杂度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36"/>
              </w:rPr>
              <w:t>1.1 为什么要研究“增长速度”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程序运行得快不快，会受到电脑型号、编译器、实现细节和输入数据影响。算法分析需要一种更稳定的语言，用来描述输入规模变大时，资源消耗增长得有多快。渐近分析就是为这个目的服务的。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5F9FD"/>
                  <w:tcBorders>
                    <w:top w:val="nil"/>
                    <w:left w:val="single" w:sz="16" w:color="2F66B0"/>
                    <w:bottom w:val="nil"/>
                    <w:right w:val="nil"/>
                  </w:tcBorders>
                  <w:tcMar>
                    <w:top w:w="90" w:type="dxa"/>
                    <w:start w:w="125" w:type="dxa"/>
                    <w:bottom w:w="90" w:type="dxa"/>
                    <w:end w:w="125" w:type="dxa"/>
                  </w:tcMar>
                </w:tcPr>
                <w:p>
                  <w:pPr>
                    <w:keepNext w:val="0"/>
                    <w:spacing w:after="40" w:before="0" w:line="274" w:lineRule="auto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F66B0"/>
                      <w:sz w:val="17"/>
                    </w:rPr>
                    <w:t>本章主线</w:t>
                  </w:r>
                </w:p>
                <w:p>
                  <w:pPr>
                    <w:keepNext w:val="0"/>
                    <w:spacing w:before="0" w:after="0" w:line="276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从“数操作次数”开始，逐步学习 O、Ω、Θ 记号，再把常见循环、递归和数据结构操作放到同一张增长率地图里。</w:t>
                  </w:r>
                </w:p>
              </w:tc>
            </w:tr>
          </w:tbl>
          <w:p/>
          <w:p>
            <w:pPr>
              <w:spacing w:after="80"/>
            </w:pP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知识地图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输入规模 n → 计数基本操作 → 写出 T(n) → 忽略常数与低阶项 → 用渐近记号表达 → 比较不同算法的扩展性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先记住一个最基础的判断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7F7F8"/>
                  <w:tcBorders>
                    <w:top w:val="single" w:sz="4" w:color="D9E2EA"/>
                    <w:left w:val="single" w:sz="4" w:color="D9E2EA"/>
                    <w:bottom w:val="single" w:sz="4" w:color="D9E2EA"/>
                    <w:right w:val="single" w:sz="4" w:color="D9E2EA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keepNext w:val="0"/>
                    <w:spacing w:after="0" w:before="0" w:line="274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4313F"/>
                      <w:sz w:val="23"/>
                    </w:rPr>
                    <w:t>n 变大时，最高阶项通常决定增长趋势</w:t>
                  </w:r>
                </w:p>
                <w:p>
                  <w:pPr>
                    <w:keepNext w:val="0"/>
                    <w:spacing w:before="0" w:after="0" w:line="274" w:lineRule="auto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687787"/>
                      <w:sz w:val="16"/>
                    </w:rPr>
                    <w:t>例如 3n² + 20n + 100 的长期增长由 n² 主导</w:t>
                  </w:r>
                </w:p>
              </w:tc>
            </w:tr>
          </w:tbl>
          <w:p/>
          <w:p>
            <w:pPr>
              <w:spacing w:after="60"/>
            </w:pP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这句话先作为直觉使用。稍后我们会给出 Big-O 的正式定义，并解释“忽略常数与低阶项”在数学上到底是什么意思。</w:t>
            </w:r>
          </w:p>
        </w:tc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single" w:sz="5" w:color="D9E2EA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直觉角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小漫画：两台电梯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电梯 A 每层多等 1 秒；电梯 B 每上 1 层，都要把之前经过的楼层再走一遍。楼层少时差距不明显，楼层越来越高时，B 会迅速落后。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E7893C"/>
                <w:sz w:val="17"/>
              </w:rPr>
              <w:t>A: 1 → 2 → 3 → 4</w:t>
              <w:br/>
              <w:t>B: 1 → 1·2 → 1·2·3 → …</w:t>
            </w:r>
          </w:p>
          <w:p>
            <w:pPr>
              <w:keepNext w:val="0"/>
              <w:spacing w:before="0" w:after="60" w:line="274" w:lineRule="auto"/>
              <w:jc w:val="left"/>
              <w:shd w:fill="ECF6F0"/>
            </w:pPr>
            <w:r>
              <w:rPr>
                <w:rFonts w:ascii="Noto Sans CJK SC" w:hAnsi="Noto Sans CJK SC" w:eastAsia="Noto Sans CJK SC"/>
                <w:b/>
                <w:i w:val="0"/>
                <w:color w:val="4D8B68"/>
                <w:sz w:val="15"/>
              </w:rPr>
              <w:t>我的问题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701"/>
      </w:tblGrid>
      <w:tr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nil"/>
              <w:bottom w:val="nil"/>
              <w:right w:val="single" w:sz="5" w:color="D9E2EA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关键词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术语</w:t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asymptotic</w:t>
              <w:br/>
              <w:t>渐近的</w:t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upper bound</w:t>
              <w:br/>
              <w:t>上界</w:t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constant factor</w:t>
              <w:br/>
              <w:t>常数因子</w:t>
            </w:r>
          </w:p>
          <w:p>
            <w:pPr>
              <w:keepNext w:val="0"/>
              <w:spacing w:before="0" w:after="10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sufficiently large</w:t>
              <w:br/>
              <w:t>充分大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  <w:tc>
          <w:tcPr>
            <w:tcW w:type="dxa" w:w="703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4"/>
              </w:rPr>
              <w:t>第 1 章 · 核心基础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36"/>
              </w:rPr>
              <w:t>1.2 Big-O 的正式定义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当我们写 f(n) = O(g(n)) 时，意思是：从某个足够大的输入规模开始，f(n) 可以被 g(n) 的某个常数倍压在上面。这里比较的是增长速度的数量级。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7F7F8"/>
                  <w:tcBorders>
                    <w:top w:val="single" w:sz="4" w:color="D9E2EA"/>
                    <w:left w:val="single" w:sz="4" w:color="D9E2EA"/>
                    <w:bottom w:val="single" w:sz="4" w:color="D9E2EA"/>
                    <w:right w:val="single" w:sz="4" w:color="D9E2EA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keepNext w:val="0"/>
                    <w:spacing w:after="0" w:before="0" w:line="274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4313F"/>
                      <w:sz w:val="23"/>
                    </w:rPr>
                    <w:t>f(n) = O(g(n))  ⇔  ∃ c &gt; 0, ∃ n₀, ∀ n ≥ n₀: 0 ≤ f(n) ≤ c·g(n)</w:t>
                  </w:r>
                </w:p>
              </w:tc>
            </w:tr>
          </w:tbl>
          <w:p/>
          <w:p>
            <w:pPr>
              <w:spacing w:after="60"/>
            </w:pP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逐个读懂符号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∃ c &gt; 0：允许我们把 g(n) 乘上一个固定常数。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∃ n₀：不要求从 n = 1 起就成立，只要求从某个规模以后成立。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∀ n ≥ n₀：一旦越过阈值，之后所有更大的 n 都必须满足这个上界。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为什么 3n² + 20n + 100 是 O(n²)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当 n ≥ 1 时，20n ≤ 20n²，100 ≤ 100n²，所以：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7F7F8"/>
                  <w:tcBorders>
                    <w:top w:val="single" w:sz="4" w:color="D9E2EA"/>
                    <w:left w:val="single" w:sz="4" w:color="D9E2EA"/>
                    <w:bottom w:val="single" w:sz="4" w:color="D9E2EA"/>
                    <w:right w:val="single" w:sz="4" w:color="D9E2EA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keepNext w:val="0"/>
                    <w:spacing w:after="0" w:before="0" w:line="274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4313F"/>
                      <w:sz w:val="23"/>
                    </w:rPr>
                    <w:t>3n² + 20n + 100 ≤ 123n²</w:t>
                  </w:r>
                </w:p>
                <w:p>
                  <w:pPr>
                    <w:keepNext w:val="0"/>
                    <w:spacing w:before="0" w:after="0" w:line="274" w:lineRule="auto"/>
                    <w:jc w:val="center"/>
                  </w:pPr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687787"/>
                      <w:sz w:val="16"/>
                    </w:rPr>
                    <w:t>因此可以取 c = 123，n₀ = 1</w:t>
                  </w:r>
                </w:p>
              </w:tc>
            </w:tr>
          </w:tbl>
          <w:p/>
          <w:p>
            <w:pPr>
              <w:spacing w:after="60"/>
            </w:pP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这就完成了一个完全形式化的 Big-O 证明。考试里如果题目要求“证明”，仅写“忽略低阶项”通常不够。</w:t>
            </w:r>
          </w:p>
        </w:tc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single" w:sz="5" w:color="D9E2EA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易错点</w:t>
            </w:r>
          </w:p>
          <w:p>
            <w:pPr>
              <w:keepNext w:val="0"/>
              <w:spacing w:before="0" w:after="60" w:line="274" w:lineRule="auto"/>
              <w:jc w:val="left"/>
              <w:shd w:fill="FFF3E8"/>
            </w:pPr>
            <w:r>
              <w:rPr>
                <w:rFonts w:ascii="Noto Sans CJK SC" w:hAnsi="Noto Sans CJK SC" w:eastAsia="Noto Sans CJK SC"/>
                <w:b/>
                <w:i w:val="0"/>
                <w:color w:val="E7893C"/>
                <w:sz w:val="15"/>
              </w:rPr>
              <w:t>最常见误解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O(n²) 不是“恰好等于 n²”。它表达上界。因此 n 也是 O(n²)，常数函数也是 O(n²)。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反复阅读时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每次看到定义，都尝试口头说出 c 和 n₀ 各自在控制什么。熟练后这会成为判断证明是否完整的习惯。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701"/>
      </w:tblGrid>
      <w:tr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nil"/>
              <w:bottom w:val="nil"/>
              <w:right w:val="single" w:sz="5" w:color="D9E2EA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我来算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先遮住答案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下面的双循环一共执行多少次 print？先自己写一个 T(n)。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  <w:tc>
          <w:tcPr>
            <w:tcW w:type="dxa" w:w="703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4"/>
              </w:rPr>
              <w:t>第 1 章 · 例题与直觉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36"/>
              </w:rPr>
              <w:t>1.3 从代码数出复杂度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6F7F8"/>
                  <w:tcBorders>
                    <w:top w:val="nil"/>
                    <w:left w:val="single" w:sz="16" w:color="5A6875"/>
                    <w:bottom w:val="nil"/>
                    <w:right w:val="nil"/>
                  </w:tcBorders>
                  <w:tcMar>
                    <w:top w:w="90" w:type="dxa"/>
                    <w:start w:w="125" w:type="dxa"/>
                    <w:bottom w:w="90" w:type="dxa"/>
                    <w:end w:w="125" w:type="dxa"/>
                  </w:tcMar>
                </w:tcPr>
                <w:p>
                  <w:pPr>
                    <w:keepNext w:val="0"/>
                    <w:spacing w:after="40" w:before="0" w:line="274" w:lineRule="auto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5A6875"/>
                      <w:sz w:val="17"/>
                    </w:rPr>
                    <w:t>例题</w:t>
                  </w:r>
                </w:p>
                <w:p>
                  <w:pPr>
                    <w:keepNext w:val="0"/>
                    <w:spacing w:before="0" w:after="0" w:line="276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for i in range(n):</w:t>
                    <w:br/>
                    <w:t xml:space="preserve">    for j in range(i + 1):</w:t>
                    <w:br/>
                    <w:t xml:space="preserve">        print(i, j)</w:t>
                  </w:r>
                </w:p>
              </w:tc>
            </w:tr>
          </w:tbl>
          <w:p/>
          <w:p>
            <w:pPr>
              <w:spacing w:after="80"/>
            </w:pP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外层循环的第 i 轮，内层执行 i + 1 次。因此总次数是 1 + 2 + … + n。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7F7F8"/>
                  <w:tcBorders>
                    <w:top w:val="single" w:sz="4" w:color="D9E2EA"/>
                    <w:left w:val="single" w:sz="4" w:color="D9E2EA"/>
                    <w:bottom w:val="single" w:sz="4" w:color="D9E2EA"/>
                    <w:right w:val="single" w:sz="4" w:color="D9E2EA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keepNext w:val="0"/>
                    <w:spacing w:after="0" w:before="0" w:line="274" w:lineRule="auto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4313F"/>
                      <w:sz w:val="23"/>
                    </w:rPr>
                    <w:t>T(n) = 1 + 2 + … + n = n(n + 1) / 2</w:t>
                  </w:r>
                </w:p>
              </w:tc>
            </w:tr>
          </w:tbl>
          <w:p/>
          <w:p>
            <w:pPr>
              <w:spacing w:after="60"/>
            </w:pP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展开后得到 0.5n² + 0.5n，所以 T(n) = Θ(n²)。这里用 Θ，因为我们既有 O(n²) 的上界，也有 Ω(n²) 的下界，增长阶被夹住了。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一个可重复使用的观察流程</w:t>
            </w:r>
          </w:p>
          <w:p>
            <w:pPr>
              <w:keepNext w:val="0"/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8"/>
              </w:rPr>
              <w:t xml:space="preserve">1.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先确定输入规模 n。</w:t>
            </w:r>
          </w:p>
          <w:p>
            <w:pPr>
              <w:keepNext w:val="0"/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8"/>
              </w:rPr>
              <w:t xml:space="preserve">2.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找出随着 n 重复的操作。</w:t>
            </w:r>
          </w:p>
          <w:p>
            <w:pPr>
              <w:keepNext w:val="0"/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8"/>
              </w:rPr>
              <w:t xml:space="preserve">3.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写出操作次数的和式或递推式。</w:t>
            </w:r>
          </w:p>
          <w:p>
            <w:pPr>
              <w:keepNext w:val="0"/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8"/>
              </w:rPr>
              <w:t xml:space="preserve">4.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化简后判断主导增长项。</w:t>
            </w:r>
          </w:p>
          <w:p>
            <w:pPr>
              <w:keepNext w:val="0"/>
              <w:spacing w:before="0" w:after="6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8"/>
              </w:rPr>
              <w:t xml:space="preserve">5.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8"/>
              </w:rPr>
              <w:t>根据题目需要选择 O、Ω 或 Θ。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ECF6F0"/>
                  <w:tcBorders>
                    <w:top w:val="nil"/>
                    <w:left w:val="single" w:sz="16" w:color="4D8B68"/>
                    <w:bottom w:val="nil"/>
                    <w:right w:val="nil"/>
                  </w:tcBorders>
                  <w:tcMar>
                    <w:top w:w="90" w:type="dxa"/>
                    <w:start w:w="125" w:type="dxa"/>
                    <w:bottom w:w="90" w:type="dxa"/>
                    <w:end w:w="125" w:type="dxa"/>
                  </w:tcMar>
                </w:tcPr>
                <w:p>
                  <w:pPr>
                    <w:keepNext w:val="0"/>
                    <w:spacing w:after="40" w:before="0" w:line="274" w:lineRule="auto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4D8B68"/>
                      <w:sz w:val="17"/>
                    </w:rPr>
                    <w:t>基础知识回声</w:t>
                  </w:r>
                </w:p>
                <w:p>
                  <w:pPr>
                    <w:keepNext w:val="0"/>
                    <w:spacing w:before="0" w:after="0" w:line="276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“先数操作，再谈复杂度”会在后面的递归、排序、图算法章节继续出现。每次重遇它，都应当比上一次更快。</w:t>
                  </w:r>
                </w:p>
              </w:tc>
            </w:tr>
          </w:tbl>
          <w:p/>
          <w:p>
            <w:pPr>
              <w:spacing w:after="80"/>
            </w:pPr>
          </w:p>
        </w:tc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single" w:sz="5" w:color="D9E2EA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旁栏漫画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小漫画：三角形座位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第 1 排 1 个座位，第 2 排 2 个……第 n 排 n 个。双循环做的事情就像把这个三角形全部坐满。</w:t>
            </w:r>
          </w:p>
          <w:p>
            <w:pPr>
              <w:keepNext w:val="0"/>
              <w:spacing w:before="0" w:after="6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7893C"/>
                <w:sz w:val="22"/>
              </w:rPr>
              <w:t>●</w:t>
              <w:br/>
              <w:t>● ●</w:t>
              <w:br/>
              <w:t>● ● ●</w:t>
              <w:br/>
              <w:t>● ● ● ●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所以总数自然会接近“半个正方形”，也就是约 ½n²。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701"/>
      </w:tblGrid>
      <w:tr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nil"/>
              <w:bottom w:val="nil"/>
              <w:right w:val="single" w:sz="5" w:color="D9E2EA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我的版本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用自己的话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把 Big-O 的定义写成一句不含公式的话。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  <w:tc>
          <w:tcPr>
            <w:tcW w:type="dxa" w:w="703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4"/>
              </w:rPr>
              <w:t>第 1 章 · 再读一遍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36"/>
              </w:rPr>
              <w:t>1.4 基础知识再读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下面这一页故意重新出现本章最重要的基础内容。它服务于两个目的：第一次读完时整理脉络；以后整本重读时，用较短篇幅重新激活核心知识。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五条必须熟到不用翻书的基础结论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25"/>
              <w:gridCol w:w="6123"/>
            </w:tblGrid>
            <w:tr>
              <w:tc>
                <w:tcPr>
                  <w:tcW w:type="dxa" w:w="3515"/>
                  <w:shd w:fill="EAF2F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F66B0"/>
                      <w:sz w:val="19"/>
                    </w:rPr>
                    <w:t>1</w:t>
                  </w:r>
                </w:p>
              </w:tc>
              <w:tc>
                <w:tcPr>
                  <w:tcW w:type="dxa" w:w="3515"/>
                  <w:shd w:fill="FBFCFD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复杂度描述的是输入规模增长时，时间或空间消耗的增长趋势。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25"/>
              <w:gridCol w:w="6123"/>
            </w:tblGrid>
            <w:tr>
              <w:tc>
                <w:tcPr>
                  <w:tcW w:type="dxa" w:w="3515"/>
                  <w:shd w:fill="EAF2F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F66B0"/>
                      <w:sz w:val="19"/>
                    </w:rPr>
                    <w:t>2</w:t>
                  </w:r>
                </w:p>
              </w:tc>
              <w:tc>
                <w:tcPr>
                  <w:tcW w:type="dxa" w:w="3515"/>
                  <w:shd w:fill="FBFCFD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Big-O 给出渐近上界；Big-Ω 给出渐近下界；Big-Θ 表示上下界同阶。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25"/>
              <w:gridCol w:w="6123"/>
            </w:tblGrid>
            <w:tr>
              <w:tc>
                <w:tcPr>
                  <w:tcW w:type="dxa" w:w="3515"/>
                  <w:shd w:fill="EAF2F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F66B0"/>
                      <w:sz w:val="19"/>
                    </w:rPr>
                    <w:t>3</w:t>
                  </w:r>
                </w:p>
              </w:tc>
              <w:tc>
                <w:tcPr>
                  <w:tcW w:type="dxa" w:w="3515"/>
                  <w:shd w:fill="FBFCFD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常数因子和低阶项通常不影响渐近阶，但在真实运行时间里仍可能重要。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25"/>
              <w:gridCol w:w="6123"/>
            </w:tblGrid>
            <w:tr>
              <w:tc>
                <w:tcPr>
                  <w:tcW w:type="dxa" w:w="3515"/>
                  <w:shd w:fill="EAF2F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F66B0"/>
                      <w:sz w:val="19"/>
                    </w:rPr>
                    <w:t>4</w:t>
                  </w:r>
                </w:p>
              </w:tc>
              <w:tc>
                <w:tcPr>
                  <w:tcW w:type="dxa" w:w="3515"/>
                  <w:shd w:fill="FBFCFD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分析代码时，先建立操作次数 T(n)，再把它转换成渐近记号。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25"/>
              <w:gridCol w:w="6123"/>
            </w:tblGrid>
            <w:tr>
              <w:tc>
                <w:tcPr>
                  <w:tcW w:type="dxa" w:w="3515"/>
                  <w:shd w:fill="EAF2F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2F66B0"/>
                      <w:sz w:val="19"/>
                    </w:rPr>
                    <w:t>5</w:t>
                  </w:r>
                </w:p>
              </w:tc>
              <w:tc>
                <w:tcPr>
                  <w:tcW w:type="dxa" w:w="3515"/>
                  <w:shd w:fill="FBFCFD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一个正式的 Big-O 证明，需要说明存在怎样的常数 c 和阈值 n₀。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030"/>
            </w:tblGrid>
            <w:tr>
              <w:tc>
                <w:tcPr>
                  <w:tcW w:type="dxa" w:w="7030"/>
                  <w:shd w:fill="FFF7D6"/>
                  <w:tcBorders>
                    <w:top w:val="nil"/>
                    <w:left w:val="single" w:sz="16" w:color="E7893C"/>
                    <w:bottom w:val="nil"/>
                    <w:right w:val="nil"/>
                  </w:tcBorders>
                  <w:tcMar>
                    <w:top w:w="90" w:type="dxa"/>
                    <w:start w:w="125" w:type="dxa"/>
                    <w:bottom w:w="90" w:type="dxa"/>
                    <w:end w:w="125" w:type="dxa"/>
                  </w:tcMar>
                </w:tcPr>
                <w:p>
                  <w:pPr>
                    <w:keepNext w:val="0"/>
                    <w:spacing w:after="40" w:before="0" w:line="274" w:lineRule="auto"/>
                  </w:pPr>
                  <w:r/>
                  <w:r>
                    <w:rPr>
                      <w:rFonts w:ascii="Noto Sans CJK SC" w:hAnsi="Noto Sans CJK SC" w:eastAsia="Noto Sans CJK SC"/>
                      <w:b/>
                      <w:i w:val="0"/>
                      <w:color w:val="E7893C"/>
                      <w:sz w:val="17"/>
                    </w:rPr>
                    <w:t>下一章会再次用到</w:t>
                  </w:r>
                </w:p>
                <w:p>
                  <w:pPr>
                    <w:keepNext w:val="0"/>
                    <w:spacing w:before="0" w:after="0" w:line="276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i w:val="0"/>
                      <w:color w:val="24313F"/>
                      <w:sz w:val="18"/>
                    </w:rPr>
                    <w:t>排序算法、哈希表、树和图算法都会继续使用这些基础概念。后面再次出现时，会保留同一套术语与符号，让反复阅读形成稳定记忆。</w:t>
                  </w:r>
                </w:p>
              </w:tc>
            </w:tr>
          </w:tbl>
          <w:p/>
          <w:p>
            <w:pPr>
              <w:spacing w:after="80"/>
            </w:pPr>
          </w:p>
        </w:tc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single" w:sz="5" w:color="D9E2EA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闭书回忆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遮住正文回答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□ O 与 Θ 有什么差别？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□ 为什么允许忽略常数？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□ 双循环一定是 O(n²) 吗？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□ n₀ 的作用是什么？</w:t>
            </w:r>
          </w:p>
          <w:p>
            <w:pPr>
              <w:keepNext w:val="0"/>
              <w:spacing w:before="0" w:after="60" w:line="274" w:lineRule="auto"/>
              <w:jc w:val="left"/>
              <w:shd w:fill="ECF6F0"/>
            </w:pPr>
            <w:r>
              <w:rPr>
                <w:rFonts w:ascii="Noto Sans CJK SC" w:hAnsi="Noto Sans CJK SC" w:eastAsia="Noto Sans CJK SC"/>
                <w:b/>
                <w:i w:val="0"/>
                <w:color w:val="4D8B68"/>
                <w:sz w:val="15"/>
              </w:rPr>
              <w:t>本轮阅读日期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  <w:gridCol w:w="1701"/>
      </w:tblGrid>
      <w:tr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nil"/>
              <w:bottom w:val="nil"/>
              <w:right w:val="single" w:sz="5" w:color="D9E2EA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左侧用途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优先留白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关键词、先修、读者自写推导、课堂补充。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  <w:tc>
          <w:tcPr>
            <w:tcW w:type="dxa" w:w="703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4"/>
              </w:rPr>
              <w:t>模板规范 · 供生成器保持一致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36"/>
              </w:rPr>
              <w:t>版式和内容密度规则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20"/>
              </w:rPr>
              <w:t>这页是模板自身的设计规范，实际成书时可以删除。它确保每次生成不同大学课程时仍保持相同阅读体验。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中央正文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约占可用宽度的 60%–68%，连续叙述，承担完整基础知识。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优先完整解释定义、条件、推导、例题和反例；不得只剩考试关键词。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对第一次学习者足够友好，同时允许熟悉内容的人快速跳读。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左右边栏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各约占 15%–20%，整体至少约一半保持为空白。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只有真正增加理解时才加入漫画、直觉类比、易错提醒、学科史或来源可靠的短引语。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边栏信息不能承载“缺了就无法理解正文”的核心知识。</w:t>
            </w:r>
          </w:p>
          <w:p>
            <w:pPr>
              <w:keepNext/>
              <w:spacing w:before="20" w:after="140" w:line="27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4313F"/>
                <w:sz w:val="26"/>
              </w:rPr>
              <w:t>重复与复读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核心定义在正文、例题、章末回顾和后续章节中按需要重现。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更重要的是维持稳定术语和连续结构，使读者能反复通读整册。</w:t>
            </w:r>
          </w:p>
          <w:p>
            <w:pPr>
              <w:keepNext w:val="0"/>
              <w:spacing w:before="0" w:after="60" w:line="278" w:lineRule="auto"/>
              <w:ind w:left="125" w:hanging="91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24313F"/>
                <w:sz w:val="19"/>
              </w:rPr>
              <w:t>章末加入闭书回忆问题，但不能用测试替代完整讲解。</w:t>
            </w:r>
          </w:p>
        </w:tc>
        <w:tc>
          <w:tcPr>
            <w:tcW w:type="dxa" w:w="170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BFCFD"/>
            <w:tcBorders>
              <w:top w:val="nil"/>
              <w:left w:val="single" w:sz="5" w:color="D9E2EA"/>
              <w:bottom w:val="nil"/>
              <w:right w:val="nil"/>
            </w:tcBorders>
          </w:tcPr>
          <w:p>
            <w:pPr>
              <w:keepNext w:val="0"/>
              <w:spacing w:after="80" w:before="0" w:line="274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687787"/>
                <w:sz w:val="15"/>
              </w:rPr>
              <w:t>右侧用途</w:t>
            </w:r>
          </w:p>
          <w:p>
            <w:pPr>
              <w:keepNext w:val="0"/>
              <w:spacing w:before="0" w:after="60" w:line="274" w:lineRule="auto"/>
              <w:jc w:val="left"/>
              <w:shd w:fill="EAF2FB"/>
            </w:pPr>
            <w:r>
              <w:rPr>
                <w:rFonts w:ascii="Noto Sans CJK SC" w:hAnsi="Noto Sans CJK SC" w:eastAsia="Noto Sans CJK SC"/>
                <w:b/>
                <w:i w:val="0"/>
                <w:color w:val="2F66B0"/>
                <w:sz w:val="15"/>
              </w:rPr>
              <w:t>可放内容</w:t>
            </w:r>
          </w:p>
          <w:p>
            <w:pPr>
              <w:keepNext w:val="0"/>
              <w:spacing w:before="0" w:after="6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• 易错点</w:t>
            </w:r>
          </w:p>
          <w:p>
            <w:pPr>
              <w:keepNext w:val="0"/>
              <w:spacing w:before="0" w:after="6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• 英文术语</w:t>
            </w:r>
          </w:p>
          <w:p>
            <w:pPr>
              <w:keepNext w:val="0"/>
              <w:spacing w:before="0" w:after="6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• 漫画/图解</w:t>
            </w:r>
          </w:p>
          <w:p>
            <w:pPr>
              <w:keepNext w:val="0"/>
              <w:spacing w:before="0" w:after="6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• 与前后章联系</w:t>
            </w:r>
          </w:p>
          <w:p>
            <w:pPr>
              <w:keepNext w:val="0"/>
              <w:spacing w:before="0" w:after="6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• 来源可靠的名人短句</w:t>
            </w:r>
          </w:p>
          <w:p>
            <w:pPr>
              <w:keepNext w:val="0"/>
              <w:spacing w:before="0" w:after="60" w:line="274" w:lineRule="auto"/>
              <w:jc w:val="left"/>
              <w:shd w:fill="FFF3E8"/>
            </w:pPr>
            <w:r>
              <w:rPr>
                <w:rFonts w:ascii="Noto Sans CJK SC" w:hAnsi="Noto Sans CJK SC" w:eastAsia="Noto Sans CJK SC"/>
                <w:b/>
                <w:i w:val="0"/>
                <w:color w:val="E7893C"/>
                <w:sz w:val="15"/>
              </w:rPr>
              <w:t>不要塞满</w:t>
            </w:r>
          </w:p>
          <w:p>
            <w:pPr>
              <w:keepNext w:val="0"/>
              <w:spacing w:before="0" w:after="10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687787"/>
                <w:sz w:val="16"/>
              </w:rPr>
              <w:t>真正的空白必须保留，方便纸质打印或平板手写批注。</w:t>
            </w: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  <w:p>
            <w:pPr>
              <w:spacing w:after="140"/>
              <w:pBdr>
                <w:bottom w:val="dotted" w:sz="3" w:space="1" w:color="D7DEE6"/>
              </w:pBdr>
            </w:pPr>
          </w:p>
        </w:tc>
      </w:tr>
    </w:tbl>
    <w:sectPr w:rsidR="00FC693F" w:rsidRPr="0006063C" w:rsidSect="00034616">
      <w:footerReference w:type="default" r:id="rId9"/>
      <w:pgSz w:w="11906" w:h="16838"/>
      <w:pgMar w:top="765" w:right="680" w:bottom="737" w:left="68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8A98A6"/>
        <w:sz w:val="14"/>
      </w:rPr>
      <w:t>大学学霸笔记 · 参考模板  |  中央正文用于反复通读 · 双侧留白用于个人批注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431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大学学霸笔记 University Xueba Notes</dc:title>
  <dc:subject>大学课程完整基础知识反复阅读模板</dc:subject>
  <dc:creator>OpenAI</dc:creator>
  <cp:keywords>大学, 学习笔记, 教辅, 双侧批注, 反复阅读, 漫画图解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