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7ADD7" w14:textId="77777777" w:rsidR="004B39C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eastAsia="x-none"/>
        </w:rPr>
      </w:pPr>
      <w:r>
        <w:rPr>
          <w:sz w:val="20"/>
          <w:szCs w:val="20"/>
          <w:shd w:val="clear" w:color="auto" w:fill="FFFFFF"/>
          <w:lang w:eastAsia="x-none"/>
        </w:rPr>
        <w:t xml:space="preserve">). Acute Hypoxemic Respiratory Failure likely secondary to _ </w:t>
      </w:r>
    </w:p>
    <w:p w14:paraId="0294F8BC" w14:textId="77777777" w:rsidR="004B39C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Continue HFNC. </w:t>
      </w:r>
    </w:p>
    <w:p w14:paraId="2816FFCB" w14:textId="77777777" w:rsidR="004B39C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2. Continue the following respiratory medications: albuterol </w:t>
      </w:r>
    </w:p>
    <w:p w14:paraId="155FCAC5" w14:textId="77777777" w:rsidR="004B39C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3. Continue the following airway clearance regimen: routine suctioning </w:t>
      </w:r>
    </w:p>
    <w:p w14:paraId="3407589A" w14:textId="74BCC075" w:rsidR="00DA79F9" w:rsidRPr="004B39C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4. Continue the following fluid management strategy: fluid restriction </w:t>
      </w:r>
      <w:bookmarkStart w:id="0" w:name="_GoBack"/>
      <w:bookmarkEnd w:id="0"/>
    </w:p>
    <w:sectPr w:rsidR="00DA79F9" w:rsidRPr="004B39C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39C9"/>
    <w:rsid w:val="00AA1D8D"/>
    <w:rsid w:val="00B47730"/>
    <w:rsid w:val="00CB0664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A4B89F-4E2F-8B4E-B7F4-C5C14F2E7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2024-11-03T01:19:00Z</dcterms:created>
  <dcterms:modified xsi:type="dcterms:W3CDTF">2024-11-03T01:19:00Z</dcterms:modified>
  <cp:category/>
</cp:coreProperties>
</file>