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E299060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Continue to ensure </w:t>
      </w:r>
      <w:r w:rsidR="009F695B">
        <w:rPr>
          <w:sz w:val="20"/>
          <w:szCs w:val="20"/>
          <w:shd w:val="clear" w:color="auto" w:fill="FFFFFF"/>
          <w:lang w:val="en-US" w:eastAsia="x-none"/>
        </w:rPr>
        <w:t>hemoglobin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 level above </w:t>
      </w:r>
      <w:r w:rsidR="009F695B">
        <w:rPr>
          <w:sz w:val="20"/>
          <w:szCs w:val="20"/>
          <w:shd w:val="clear" w:color="auto" w:fill="FFFFFF"/>
          <w:lang w:val="en-US" w:eastAsia="x-none"/>
        </w:rPr>
        <w:t xml:space="preserve">_. Continue to limit blood draws. 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EA27C-19A9-FB40-9A20-8CF05BC9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2024-11-03T01:49:00Z</dcterms:created>
  <dcterms:modified xsi:type="dcterms:W3CDTF">2024-11-03T01:49:00Z</dcterms:modified>
  <cp:category/>
</cp:coreProperties>
</file>