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6A4AB937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3532E7">
        <w:rPr>
          <w:sz w:val="20"/>
          <w:szCs w:val="20"/>
          <w:shd w:val="clear" w:color="auto" w:fill="FFFFFF"/>
          <w:lang w:val="en-US" w:eastAsia="x-none"/>
        </w:rPr>
        <w:t xml:space="preserve">Will place the patient on a balanced solution of intravenous fluids and ensure adequate cardiac output. 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32E7"/>
    <w:rsid w:val="004B39C9"/>
    <w:rsid w:val="008D2BDC"/>
    <w:rsid w:val="009F695B"/>
    <w:rsid w:val="00A44502"/>
    <w:rsid w:val="00AA1D8D"/>
    <w:rsid w:val="00AF29C7"/>
    <w:rsid w:val="00B47730"/>
    <w:rsid w:val="00CB0664"/>
    <w:rsid w:val="00CB5FC9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1017D-9072-406B-A357-1BC43A9E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3</cp:revision>
  <dcterms:created xsi:type="dcterms:W3CDTF">2024-12-14T00:55:00Z</dcterms:created>
  <dcterms:modified xsi:type="dcterms:W3CDTF">2024-12-14T00:55:00Z</dcterms:modified>
  <cp:category/>
</cp:coreProperties>
</file>