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7F3379F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B81F8C">
        <w:rPr>
          <w:sz w:val="20"/>
          <w:szCs w:val="20"/>
          <w:shd w:val="clear" w:color="auto" w:fill="FFFFFF"/>
          <w:lang w:val="en-US" w:eastAsia="x-none"/>
        </w:rPr>
        <w:t>Likely secondary to bone marrow suppression, will monitor for resolution.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F134A-B176-C14A-BF4A-9DDA41A7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2024-11-03T01:49:00Z</dcterms:created>
  <dcterms:modified xsi:type="dcterms:W3CDTF">2024-11-03T01:49:00Z</dcterms:modified>
  <cp:category/>
</cp:coreProperties>
</file>