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7FCD" w14:textId="77777777" w:rsidR="00B50E0E" w:rsidRDefault="00427E6E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 The pupils were equal and reactive. The patient was alert and oriented x 3. </w:t>
      </w:r>
    </w:p>
    <w:p w14:paraId="5454E3FE" w14:textId="77777777" w:rsidR="00B50E0E" w:rsidRDefault="00427E6E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57BB5F50" w14:textId="77777777" w:rsidR="00B50E0E" w:rsidRDefault="00427E6E">
      <w:pPr>
        <w:spacing w:after="0"/>
      </w:pPr>
      <w:r>
        <w:rPr>
          <w:rFonts w:ascii="Arial" w:hAnsi="Arial"/>
          <w:sz w:val="18"/>
        </w:rPr>
        <w:t xml:space="preserve">CV: The capillary refill was brisk and &lt; 3 seconds. Distal pulses were +2 bilaterally. </w:t>
      </w:r>
    </w:p>
    <w:p w14:paraId="4A446A4F" w14:textId="77777777" w:rsidR="00B50E0E" w:rsidRDefault="00427E6E">
      <w:pPr>
        <w:spacing w:after="0"/>
      </w:pPr>
      <w:r>
        <w:rPr>
          <w:rFonts w:ascii="Arial" w:hAnsi="Arial"/>
          <w:sz w:val="18"/>
        </w:rPr>
        <w:t xml:space="preserve">Abd: Bowel sounds were normoactive. Abdomen is nontender and soft.  </w:t>
      </w:r>
    </w:p>
    <w:sectPr w:rsidR="00B50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E6E"/>
    <w:rsid w:val="00AA1D8D"/>
    <w:rsid w:val="00B47730"/>
    <w:rsid w:val="00B50E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4444E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A6AB1B-40C6-484D-84E6-45278633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