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9C65" w14:textId="77777777" w:rsidR="004F6538" w:rsidRDefault="00BC1FC8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Patient is at baseline. </w:t>
      </w:r>
    </w:p>
    <w:p w14:paraId="1007908E" w14:textId="77777777" w:rsidR="004F6538" w:rsidRDefault="00BC1FC8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0D416477" w14:textId="77777777" w:rsidR="004F6538" w:rsidRDefault="00BC1FC8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Distal pulses were +2 bilaterally. </w:t>
      </w:r>
    </w:p>
    <w:p w14:paraId="20B7EAA5" w14:textId="77777777" w:rsidR="004F6538" w:rsidRDefault="00BC1FC8">
      <w:pPr>
        <w:spacing w:after="0"/>
      </w:pPr>
      <w:r>
        <w:rPr>
          <w:rFonts w:ascii="Arial" w:hAnsi="Arial"/>
          <w:sz w:val="18"/>
        </w:rPr>
        <w:t xml:space="preserve">Abd: Abdomen is soft and nontender. There was no distension noted. The bowel sounds were normoactive.  </w:t>
      </w:r>
    </w:p>
    <w:sectPr w:rsidR="004F65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538"/>
    <w:rsid w:val="00AA1D8D"/>
    <w:rsid w:val="00B47730"/>
    <w:rsid w:val="00BC1F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667A7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616C4-21FA-204A-B4E9-CDE87CE0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