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0DCD231C" w:rsidR="00DA79F9" w:rsidRPr="00CC53D9" w:rsidRDefault="004B39C9" w:rsidP="00490C6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490C66">
        <w:rPr>
          <w:sz w:val="20"/>
          <w:szCs w:val="20"/>
          <w:shd w:val="clear" w:color="auto" w:fill="FFFFFF"/>
          <w:lang w:val="en-US" w:eastAsia="x-none"/>
        </w:rPr>
        <w:t xml:space="preserve">Neurosurgery consulted, we appreciate their input. 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The plan for managing refractory intracranial hypertension </w:t>
      </w:r>
      <w:r w:rsidR="00490C66">
        <w:rPr>
          <w:sz w:val="20"/>
          <w:szCs w:val="20"/>
          <w:shd w:val="clear" w:color="auto" w:fill="FFFFFF"/>
          <w:lang w:val="en-US" w:eastAsia="x-none"/>
        </w:rPr>
        <w:t>will focus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 on reducing intracranial pressure (ICP) while maintaining cerebral perfusion pressure (CPP). Sedation and analgesia </w:t>
      </w:r>
      <w:r w:rsidR="00490C66">
        <w:rPr>
          <w:sz w:val="20"/>
          <w:szCs w:val="20"/>
          <w:shd w:val="clear" w:color="auto" w:fill="FFFFFF"/>
          <w:lang w:val="en-US" w:eastAsia="x-none"/>
        </w:rPr>
        <w:t>will be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 optimized to minimize metabolic demand, while hyperosmolar therapy (e.g., hypertonic salin</w:t>
      </w:r>
      <w:r w:rsidR="00490C66">
        <w:rPr>
          <w:sz w:val="20"/>
          <w:szCs w:val="20"/>
          <w:shd w:val="clear" w:color="auto" w:fill="FFFFFF"/>
          <w:lang w:val="en-US" w:eastAsia="x-none"/>
        </w:rPr>
        <w:t>e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) </w:t>
      </w:r>
      <w:r w:rsidR="00490C66">
        <w:rPr>
          <w:sz w:val="20"/>
          <w:szCs w:val="20"/>
          <w:shd w:val="clear" w:color="auto" w:fill="FFFFFF"/>
          <w:lang w:val="en-US" w:eastAsia="x-none"/>
        </w:rPr>
        <w:t xml:space="preserve">will be 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>used to control cerebral edema and maintain high-normal serum sodium levels.</w:t>
      </w:r>
      <w:r w:rsidR="00490C66">
        <w:rPr>
          <w:sz w:val="20"/>
          <w:szCs w:val="20"/>
          <w:shd w:val="clear" w:color="auto" w:fill="FFFFFF"/>
          <w:lang w:val="en-US" w:eastAsia="x-none"/>
        </w:rPr>
        <w:t xml:space="preserve"> We will cosnider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490C66">
        <w:rPr>
          <w:sz w:val="20"/>
          <w:szCs w:val="20"/>
          <w:shd w:val="clear" w:color="auto" w:fill="FFFFFF"/>
          <w:lang w:val="en-US" w:eastAsia="x-none"/>
        </w:rPr>
        <w:t>a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>dditional strategies include CSF drainage, seizure prophylaxis, and temperature management to prevent further injury. In cases of persistent ICP elevation, advanced options such as barbiturate coma or decompressive craniecto</w:t>
      </w:r>
      <w:bookmarkStart w:id="0" w:name="_GoBack"/>
      <w:bookmarkEnd w:id="0"/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my </w:t>
      </w:r>
      <w:r w:rsidR="00490C66">
        <w:rPr>
          <w:sz w:val="20"/>
          <w:szCs w:val="20"/>
          <w:shd w:val="clear" w:color="auto" w:fill="FFFFFF"/>
          <w:lang w:val="en-US" w:eastAsia="x-none"/>
        </w:rPr>
        <w:t>will be</w:t>
      </w:r>
      <w:r w:rsidR="00490C66" w:rsidRPr="00490C66">
        <w:rPr>
          <w:sz w:val="20"/>
          <w:szCs w:val="20"/>
          <w:shd w:val="clear" w:color="auto" w:fill="FFFFFF"/>
          <w:lang w:val="en-US" w:eastAsia="x-none"/>
        </w:rPr>
        <w:t xml:space="preserve"> considered.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77E"/>
    <w:rsid w:val="0015074B"/>
    <w:rsid w:val="0029639D"/>
    <w:rsid w:val="00326F90"/>
    <w:rsid w:val="00490C66"/>
    <w:rsid w:val="004B39C9"/>
    <w:rsid w:val="00766C3E"/>
    <w:rsid w:val="008D2BDC"/>
    <w:rsid w:val="009F695B"/>
    <w:rsid w:val="00A44502"/>
    <w:rsid w:val="00AA1D8D"/>
    <w:rsid w:val="00AF29C7"/>
    <w:rsid w:val="00B47730"/>
    <w:rsid w:val="00CA4C1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2688E-F872-4805-897F-F9304FD9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2024-11-24T02:28:00Z</dcterms:created>
  <dcterms:modified xsi:type="dcterms:W3CDTF">2024-11-24T02:28:00Z</dcterms:modified>
  <cp:category/>
</cp:coreProperties>
</file>