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000C" w14:textId="0F01DC9D" w:rsidR="00854101" w:rsidRDefault="00854101" w:rsidP="00854101">
      <w:pPr>
        <w:pStyle w:val="Photo"/>
      </w:pPr>
      <w:bookmarkStart w:id="0" w:name="_Toc321147149"/>
      <w:bookmarkStart w:id="1" w:name="_Toc318188227"/>
      <w:bookmarkStart w:id="2" w:name="_Toc318188327"/>
      <w:bookmarkStart w:id="3" w:name="_Toc318189312"/>
      <w:bookmarkStart w:id="4" w:name="_Toc321147011"/>
      <w:r>
        <w:rPr>
          <w:rStyle w:val="wacimagecontainer"/>
          <w:rFonts w:ascii="Segoe UI" w:hAnsi="Segoe UI" w:cs="Segoe UI"/>
          <w:noProof/>
          <w:color w:val="000000"/>
          <w:sz w:val="18"/>
          <w:szCs w:val="18"/>
          <w:shd w:val="clear" w:color="auto" w:fill="FFFFFF"/>
        </w:rPr>
        <w:drawing>
          <wp:inline distT="0" distB="0" distL="0" distR="0" wp14:anchorId="234A90C5" wp14:editId="7EA09DF2">
            <wp:extent cx="2387600" cy="2373471"/>
            <wp:effectExtent l="0" t="0" r="0" b="8255"/>
            <wp:docPr id="16146869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0502" cy="2376356"/>
                    </a:xfrm>
                    <a:prstGeom prst="rect">
                      <a:avLst/>
                    </a:prstGeom>
                    <a:noFill/>
                    <a:ln>
                      <a:noFill/>
                    </a:ln>
                  </pic:spPr>
                </pic:pic>
              </a:graphicData>
            </a:graphic>
          </wp:inline>
        </w:drawing>
      </w:r>
      <w:r>
        <w:rPr>
          <w:rFonts w:ascii="Calibri" w:hAnsi="Calibri" w:cs="Calibri"/>
          <w:color w:val="000000"/>
          <w:sz w:val="22"/>
          <w:szCs w:val="22"/>
          <w:shd w:val="clear" w:color="auto" w:fill="FFFFFF"/>
        </w:rPr>
        <w:br/>
      </w:r>
    </w:p>
    <w:p w14:paraId="608591E4" w14:textId="77777777" w:rsidR="00854101" w:rsidRDefault="00854101" w:rsidP="00854101">
      <w:pPr>
        <w:pStyle w:val="Photo"/>
      </w:pPr>
    </w:p>
    <w:p w14:paraId="7F3AC73E" w14:textId="77777777" w:rsidR="00854101" w:rsidRDefault="00854101" w:rsidP="00854101">
      <w:pPr>
        <w:pStyle w:val="Photo"/>
      </w:pPr>
    </w:p>
    <w:p w14:paraId="0CFA998D" w14:textId="77777777" w:rsidR="00854101" w:rsidRPr="008B5277" w:rsidRDefault="00854101" w:rsidP="00854101">
      <w:pPr>
        <w:pStyle w:val="Photo"/>
      </w:pPr>
    </w:p>
    <w:bookmarkEnd w:id="0"/>
    <w:bookmarkEnd w:id="1"/>
    <w:bookmarkEnd w:id="2"/>
    <w:bookmarkEnd w:id="3"/>
    <w:bookmarkEnd w:id="4"/>
    <w:p w14:paraId="04E16BA7" w14:textId="68049C50" w:rsidR="00854101" w:rsidRPr="008830F8" w:rsidRDefault="00854101" w:rsidP="00854101">
      <w:pPr>
        <w:pStyle w:val="Title"/>
        <w:jc w:val="center"/>
        <w:rPr>
          <w:rFonts w:ascii="Century Gothic" w:hAnsi="Century Gothic"/>
        </w:rPr>
      </w:pPr>
      <w:r>
        <w:rPr>
          <w:rFonts w:ascii="Century Gothic" w:hAnsi="Century Gothic"/>
        </w:rPr>
        <w:t>Class Assignment #2</w:t>
      </w:r>
    </w:p>
    <w:p w14:paraId="56EB8656" w14:textId="77777777" w:rsidR="00854101" w:rsidRPr="000E5871" w:rsidRDefault="00854101" w:rsidP="00854101">
      <w:pPr>
        <w:pStyle w:val="Subtitle"/>
        <w:jc w:val="center"/>
        <w:rPr>
          <w:rFonts w:ascii="Century Gothic" w:hAnsi="Century Gothic"/>
          <w:sz w:val="32"/>
        </w:rPr>
      </w:pPr>
      <w:r>
        <w:rPr>
          <w:rFonts w:ascii="Century Gothic" w:hAnsi="Century Gothic"/>
          <w:sz w:val="32"/>
        </w:rPr>
        <w:t>OOP</w:t>
      </w:r>
    </w:p>
    <w:p w14:paraId="248D7293" w14:textId="77777777" w:rsidR="00854101" w:rsidRPr="00E62BCE" w:rsidRDefault="00854101" w:rsidP="00854101">
      <w:pPr>
        <w:jc w:val="center"/>
        <w:rPr>
          <w:rFonts w:ascii="Century Gothic" w:hAnsi="Century Gothic"/>
          <w:sz w:val="28"/>
          <w:szCs w:val="25"/>
        </w:rPr>
      </w:pPr>
      <w:r w:rsidRPr="00E62BCE">
        <w:rPr>
          <w:rFonts w:ascii="Century Gothic" w:hAnsi="Century Gothic"/>
          <w:sz w:val="28"/>
          <w:szCs w:val="25"/>
        </w:rPr>
        <w:t>Instructor: Mr. Mohsin Ahmed</w:t>
      </w:r>
    </w:p>
    <w:p w14:paraId="6171495E" w14:textId="77777777" w:rsidR="00854101" w:rsidRDefault="00854101" w:rsidP="00854101">
      <w:pPr>
        <w:jc w:val="center"/>
        <w:rPr>
          <w:rFonts w:ascii="Century Gothic" w:hAnsi="Century Gothic"/>
        </w:rPr>
      </w:pPr>
    </w:p>
    <w:p w14:paraId="52187E6D" w14:textId="77777777" w:rsidR="00854101" w:rsidRDefault="00854101" w:rsidP="00854101">
      <w:pPr>
        <w:jc w:val="center"/>
        <w:rPr>
          <w:rFonts w:ascii="Century Gothic" w:hAnsi="Century Gothic"/>
        </w:rPr>
      </w:pPr>
    </w:p>
    <w:tbl>
      <w:tblPr>
        <w:tblStyle w:val="PlainTable2"/>
        <w:tblW w:w="0" w:type="auto"/>
        <w:jc w:val="center"/>
        <w:tblLook w:val="04A0" w:firstRow="1" w:lastRow="0" w:firstColumn="1" w:lastColumn="0" w:noHBand="0" w:noVBand="1"/>
      </w:tblPr>
      <w:tblGrid>
        <w:gridCol w:w="3256"/>
        <w:gridCol w:w="288"/>
        <w:gridCol w:w="3424"/>
      </w:tblGrid>
      <w:tr w:rsidR="00854101" w14:paraId="16A79CBF" w14:textId="77777777" w:rsidTr="0051583B">
        <w:trPr>
          <w:cnfStyle w:val="100000000000" w:firstRow="1" w:lastRow="0" w:firstColumn="0" w:lastColumn="0" w:oddVBand="0" w:evenVBand="0" w:oddHBand="0"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10B70F4A" w14:textId="77777777" w:rsidR="00854101" w:rsidRDefault="00854101" w:rsidP="0051583B">
            <w:pPr>
              <w:jc w:val="center"/>
              <w:rPr>
                <w:rFonts w:ascii="Century Gothic" w:hAnsi="Century Gothic"/>
                <w:sz w:val="24"/>
              </w:rPr>
            </w:pPr>
            <w:r>
              <w:rPr>
                <w:rFonts w:ascii="Century Gothic" w:hAnsi="Century Gothic"/>
                <w:sz w:val="24"/>
              </w:rPr>
              <w:t>Student Name:</w:t>
            </w:r>
          </w:p>
        </w:tc>
        <w:tc>
          <w:tcPr>
            <w:tcW w:w="288" w:type="dxa"/>
          </w:tcPr>
          <w:p w14:paraId="59D24EBE" w14:textId="77777777" w:rsidR="00854101" w:rsidRDefault="00854101" w:rsidP="0051583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7423A616" w14:textId="77777777" w:rsidR="00854101" w:rsidRPr="000E5871" w:rsidRDefault="00854101" w:rsidP="0051583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4"/>
              </w:rPr>
            </w:pPr>
            <w:r>
              <w:rPr>
                <w:rFonts w:ascii="Century Gothic" w:hAnsi="Century Gothic"/>
                <w:b w:val="0"/>
                <w:bCs w:val="0"/>
                <w:sz w:val="24"/>
              </w:rPr>
              <w:t>Muhammad Abdullah</w:t>
            </w:r>
          </w:p>
        </w:tc>
      </w:tr>
      <w:tr w:rsidR="00854101" w14:paraId="021C3A45" w14:textId="77777777" w:rsidTr="0051583B">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3734FD84" w14:textId="77777777" w:rsidR="00854101" w:rsidRDefault="00854101" w:rsidP="0051583B">
            <w:pPr>
              <w:jc w:val="center"/>
              <w:rPr>
                <w:rFonts w:ascii="Century Gothic" w:hAnsi="Century Gothic"/>
                <w:sz w:val="24"/>
              </w:rPr>
            </w:pPr>
            <w:r>
              <w:rPr>
                <w:rFonts w:ascii="Century Gothic" w:hAnsi="Century Gothic"/>
                <w:sz w:val="24"/>
              </w:rPr>
              <w:t>Registration No:</w:t>
            </w:r>
          </w:p>
        </w:tc>
        <w:tc>
          <w:tcPr>
            <w:tcW w:w="288" w:type="dxa"/>
          </w:tcPr>
          <w:p w14:paraId="06EE784A" w14:textId="77777777" w:rsidR="00854101" w:rsidRDefault="00854101" w:rsidP="005158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05895F5E" w14:textId="77777777" w:rsidR="00854101" w:rsidRDefault="00854101" w:rsidP="005158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FA24-BSE-042</w:t>
            </w:r>
          </w:p>
        </w:tc>
      </w:tr>
      <w:tr w:rsidR="00854101" w14:paraId="4BC79837" w14:textId="77777777" w:rsidTr="0051583B">
        <w:trPr>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0FF4277C" w14:textId="77777777" w:rsidR="00854101" w:rsidRDefault="00854101" w:rsidP="0051583B">
            <w:pPr>
              <w:jc w:val="center"/>
              <w:rPr>
                <w:rFonts w:ascii="Century Gothic" w:hAnsi="Century Gothic"/>
                <w:sz w:val="24"/>
              </w:rPr>
            </w:pPr>
            <w:r>
              <w:rPr>
                <w:rFonts w:ascii="Century Gothic" w:hAnsi="Century Gothic"/>
                <w:sz w:val="24"/>
              </w:rPr>
              <w:t>Department:</w:t>
            </w:r>
          </w:p>
        </w:tc>
        <w:tc>
          <w:tcPr>
            <w:tcW w:w="288" w:type="dxa"/>
          </w:tcPr>
          <w:p w14:paraId="249B7F4A" w14:textId="77777777" w:rsidR="00854101" w:rsidRDefault="00854101" w:rsidP="0051583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p>
        </w:tc>
        <w:tc>
          <w:tcPr>
            <w:tcW w:w="3424" w:type="dxa"/>
          </w:tcPr>
          <w:p w14:paraId="7C6F100C" w14:textId="77777777" w:rsidR="00854101" w:rsidRDefault="00854101" w:rsidP="0051583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rPr>
            </w:pPr>
            <w:r>
              <w:rPr>
                <w:rFonts w:ascii="Century Gothic" w:hAnsi="Century Gothic"/>
                <w:sz w:val="24"/>
              </w:rPr>
              <w:t>Software Engineering</w:t>
            </w:r>
          </w:p>
        </w:tc>
      </w:tr>
      <w:tr w:rsidR="00854101" w14:paraId="2B249510" w14:textId="77777777" w:rsidTr="0051583B">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4327598F" w14:textId="77777777" w:rsidR="00854101" w:rsidRDefault="00854101" w:rsidP="0051583B">
            <w:pPr>
              <w:jc w:val="center"/>
              <w:rPr>
                <w:rFonts w:ascii="Century Gothic" w:hAnsi="Century Gothic"/>
                <w:sz w:val="24"/>
              </w:rPr>
            </w:pPr>
            <w:r>
              <w:rPr>
                <w:rFonts w:ascii="Century Gothic" w:hAnsi="Century Gothic"/>
                <w:sz w:val="24"/>
              </w:rPr>
              <w:t>Submission Date:</w:t>
            </w:r>
          </w:p>
        </w:tc>
        <w:tc>
          <w:tcPr>
            <w:tcW w:w="288" w:type="dxa"/>
          </w:tcPr>
          <w:p w14:paraId="57A3AC26" w14:textId="77777777" w:rsidR="00854101" w:rsidRDefault="00854101" w:rsidP="005158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tc>
        <w:tc>
          <w:tcPr>
            <w:tcW w:w="3424" w:type="dxa"/>
          </w:tcPr>
          <w:p w14:paraId="3D10088B" w14:textId="77777777" w:rsidR="00854101" w:rsidRDefault="00854101" w:rsidP="0051583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roofErr w:type="gramStart"/>
            <w:r>
              <w:rPr>
                <w:rFonts w:ascii="Century Gothic" w:hAnsi="Century Gothic"/>
                <w:sz w:val="24"/>
              </w:rPr>
              <w:t>22</w:t>
            </w:r>
            <w:r w:rsidRPr="009F0D7E">
              <w:rPr>
                <w:rFonts w:ascii="Century Gothic" w:hAnsi="Century Gothic"/>
                <w:sz w:val="24"/>
              </w:rPr>
              <w:t>th</w:t>
            </w:r>
            <w:proofErr w:type="gramEnd"/>
            <w:r>
              <w:rPr>
                <w:rFonts w:ascii="Century Gothic" w:hAnsi="Century Gothic"/>
                <w:sz w:val="24"/>
              </w:rPr>
              <w:t xml:space="preserve"> October 2022</w:t>
            </w:r>
          </w:p>
        </w:tc>
      </w:tr>
    </w:tbl>
    <w:p w14:paraId="3577551D" w14:textId="77777777" w:rsidR="00854101" w:rsidRDefault="00854101" w:rsidP="00854101">
      <w:pPr>
        <w:jc w:val="center"/>
        <w:rPr>
          <w:rFonts w:ascii="Century Gothic" w:hAnsi="Century Gothic"/>
          <w:sz w:val="28"/>
          <w:szCs w:val="25"/>
        </w:rPr>
      </w:pPr>
    </w:p>
    <w:p w14:paraId="3E090C42" w14:textId="77777777" w:rsidR="00854101" w:rsidRDefault="00854101" w:rsidP="00854101">
      <w:pPr>
        <w:jc w:val="center"/>
        <w:rPr>
          <w:rFonts w:ascii="Century Gothic" w:hAnsi="Century Gothic"/>
          <w:sz w:val="28"/>
          <w:szCs w:val="25"/>
        </w:rPr>
      </w:pPr>
    </w:p>
    <w:p w14:paraId="7C2807D4" w14:textId="77777777" w:rsidR="00854101" w:rsidRDefault="00854101" w:rsidP="00854101">
      <w:pPr>
        <w:pStyle w:val="Subtitle"/>
        <w:jc w:val="center"/>
        <w:rPr>
          <w:rFonts w:ascii="Century Gothic" w:hAnsi="Century Gothic"/>
          <w:sz w:val="32"/>
        </w:rPr>
      </w:pPr>
      <w:r>
        <w:rPr>
          <w:rFonts w:ascii="Century Gothic" w:hAnsi="Century Gothic"/>
          <w:sz w:val="32"/>
        </w:rPr>
        <w:t>COMSATS University Islamabad</w:t>
      </w:r>
    </w:p>
    <w:p w14:paraId="26C157A3" w14:textId="77777777" w:rsidR="00854101" w:rsidRDefault="00854101" w:rsidP="00854101"/>
    <w:p w14:paraId="624BD936" w14:textId="77777777" w:rsidR="00854101" w:rsidRDefault="00854101" w:rsidP="00854101">
      <w:r>
        <w:br w:type="page"/>
      </w:r>
    </w:p>
    <w:p w14:paraId="6BA2D711" w14:textId="1EDCFE46" w:rsidR="00854101" w:rsidRPr="00854101" w:rsidRDefault="00854101" w:rsidP="00854101">
      <w:pPr>
        <w:rPr>
          <w:b/>
          <w:bCs/>
        </w:rPr>
      </w:pPr>
      <w:r w:rsidRPr="00854101">
        <w:rPr>
          <w:b/>
          <w:bCs/>
        </w:rPr>
        <w:lastRenderedPageBreak/>
        <w:t>1. Inheritance &amp; Method Overriding</w:t>
      </w:r>
    </w:p>
    <w:p w14:paraId="61218F1A" w14:textId="77777777" w:rsidR="00854101" w:rsidRPr="00854101" w:rsidRDefault="00854101" w:rsidP="00854101">
      <w:pPr>
        <w:numPr>
          <w:ilvl w:val="0"/>
          <w:numId w:val="6"/>
        </w:numPr>
      </w:pPr>
      <w:r w:rsidRPr="00854101">
        <w:rPr>
          <w:b/>
          <w:bCs/>
        </w:rPr>
        <w:t>Inheritance</w:t>
      </w:r>
      <w:r w:rsidRPr="00854101">
        <w:t>: You have an abstract base class Payment that defines shared attributes (like </w:t>
      </w:r>
      <w:proofErr w:type="spellStart"/>
      <w:r w:rsidRPr="00854101">
        <w:t>payerId</w:t>
      </w:r>
      <w:proofErr w:type="spellEnd"/>
      <w:r w:rsidRPr="00854101">
        <w:t>, amount) and behaviors (like </w:t>
      </w:r>
      <w:proofErr w:type="spellStart"/>
      <w:r w:rsidRPr="00854101">
        <w:t>evaluateRisk</w:t>
      </w:r>
      <w:proofErr w:type="spellEnd"/>
      <w:r w:rsidRPr="00854101">
        <w:t>()).</w:t>
      </w:r>
    </w:p>
    <w:p w14:paraId="5F7BAFE3" w14:textId="77777777" w:rsidR="00854101" w:rsidRPr="00854101" w:rsidRDefault="00854101" w:rsidP="00854101">
      <w:pPr>
        <w:numPr>
          <w:ilvl w:val="0"/>
          <w:numId w:val="6"/>
        </w:numPr>
      </w:pPr>
      <w:r w:rsidRPr="00854101">
        <w:rPr>
          <w:b/>
          <w:bCs/>
        </w:rPr>
        <w:t>Method Overriding</w:t>
      </w:r>
      <w:r w:rsidRPr="00854101">
        <w:t>: Each payment type (</w:t>
      </w:r>
      <w:proofErr w:type="spellStart"/>
      <w:r w:rsidRPr="00854101">
        <w:t>creditCardPayment</w:t>
      </w:r>
      <w:proofErr w:type="spellEnd"/>
      <w:r w:rsidRPr="00854101">
        <w:t>, </w:t>
      </w:r>
      <w:proofErr w:type="spellStart"/>
      <w:r w:rsidRPr="00854101">
        <w:t>digitalWalletPayment</w:t>
      </w:r>
      <w:proofErr w:type="spellEnd"/>
      <w:r w:rsidRPr="00854101">
        <w:t>, </w:t>
      </w:r>
      <w:proofErr w:type="spellStart"/>
      <w:r w:rsidRPr="00854101">
        <w:t>cryptoCurrencyPayment</w:t>
      </w:r>
      <w:proofErr w:type="spellEnd"/>
      <w:r w:rsidRPr="00854101">
        <w:t>) extends Payment and provides its own implementation of </w:t>
      </w:r>
      <w:proofErr w:type="spellStart"/>
      <w:r w:rsidRPr="00854101">
        <w:t>processPayment</w:t>
      </w:r>
      <w:proofErr w:type="spellEnd"/>
      <w:r w:rsidRPr="00854101">
        <w:t>(). This allows each payment method to handle its unique authentication and transaction logic, while still following a common contract. This is a classic use of polymorphism: you can treat all payments uniformly, but the actual behavior depends on the specific subclass.</w:t>
      </w:r>
      <w:r w:rsidRPr="00854101">
        <w:rPr>
          <w:rFonts w:ascii="Arial" w:hAnsi="Arial" w:cs="Arial"/>
        </w:rPr>
        <w:t>​</w:t>
      </w:r>
    </w:p>
    <w:p w14:paraId="27177055" w14:textId="77777777" w:rsidR="00854101" w:rsidRPr="00854101" w:rsidRDefault="00854101" w:rsidP="00854101">
      <w:pPr>
        <w:rPr>
          <w:b/>
          <w:bCs/>
        </w:rPr>
      </w:pPr>
      <w:r w:rsidRPr="00854101">
        <w:rPr>
          <w:b/>
          <w:bCs/>
        </w:rPr>
        <w:t>2. Encapsulation for Security</w:t>
      </w:r>
    </w:p>
    <w:p w14:paraId="493D30B0" w14:textId="77777777" w:rsidR="00854101" w:rsidRPr="00854101" w:rsidRDefault="00854101" w:rsidP="00854101">
      <w:pPr>
        <w:numPr>
          <w:ilvl w:val="0"/>
          <w:numId w:val="2"/>
        </w:numPr>
      </w:pPr>
      <w:r w:rsidRPr="00854101">
        <w:rPr>
          <w:b/>
          <w:bCs/>
        </w:rPr>
        <w:t>Encapsulation</w:t>
      </w:r>
      <w:r w:rsidRPr="00854101">
        <w:t>: Sensitive data (card numbers, wallet IDs, blockchain keys) are declared as private fields in their respective classes. This means external modules cannot access or modify these details directly. Only controlled methods within the class (like </w:t>
      </w:r>
      <w:proofErr w:type="spellStart"/>
      <w:r w:rsidRPr="00854101">
        <w:t>processPayment</w:t>
      </w:r>
      <w:proofErr w:type="spellEnd"/>
      <w:r w:rsidRPr="00854101">
        <w:t> or refund) can use them, which is essential for security and regulatory compliance.</w:t>
      </w:r>
      <w:r w:rsidRPr="00854101">
        <w:rPr>
          <w:rFonts w:ascii="Arial" w:hAnsi="Arial" w:cs="Arial"/>
        </w:rPr>
        <w:t>​</w:t>
      </w:r>
    </w:p>
    <w:p w14:paraId="4B81B889" w14:textId="77777777" w:rsidR="00854101" w:rsidRPr="00854101" w:rsidRDefault="00854101" w:rsidP="00854101">
      <w:pPr>
        <w:rPr>
          <w:b/>
          <w:bCs/>
        </w:rPr>
      </w:pPr>
      <w:r w:rsidRPr="00854101">
        <w:rPr>
          <w:b/>
          <w:bCs/>
        </w:rPr>
        <w:t>3. Composition for Modularity</w:t>
      </w:r>
    </w:p>
    <w:p w14:paraId="4A914F7D" w14:textId="77777777" w:rsidR="00854101" w:rsidRPr="00854101" w:rsidRDefault="00854101" w:rsidP="00854101">
      <w:pPr>
        <w:numPr>
          <w:ilvl w:val="0"/>
          <w:numId w:val="3"/>
        </w:numPr>
      </w:pPr>
      <w:r w:rsidRPr="00854101">
        <w:rPr>
          <w:b/>
          <w:bCs/>
        </w:rPr>
        <w:t>Composition</w:t>
      </w:r>
      <w:r w:rsidRPr="00854101">
        <w:t>: The Payment class has an </w:t>
      </w:r>
      <w:proofErr w:type="spellStart"/>
      <w:r w:rsidRPr="00854101">
        <w:t>AuditService</w:t>
      </w:r>
      <w:proofErr w:type="spellEnd"/>
      <w:r w:rsidRPr="00854101">
        <w:t> object as a member. This is a "has-a" relationship, not an "is-a" relationship. By using composition, you can share the same </w:t>
      </w:r>
      <w:proofErr w:type="spellStart"/>
      <w:r w:rsidRPr="00854101">
        <w:t>AuditService</w:t>
      </w:r>
      <w:proofErr w:type="spellEnd"/>
      <w:r w:rsidRPr="00854101">
        <w:t xml:space="preserve"> instance across multiple payment </w:t>
      </w:r>
      <w:proofErr w:type="gramStart"/>
      <w:r w:rsidRPr="00854101">
        <w:t>objects, and</w:t>
      </w:r>
      <w:proofErr w:type="gramEnd"/>
      <w:r w:rsidRPr="00854101">
        <w:t xml:space="preserve"> swap out or extend auxiliary services (like risk evaluation, fraud detection, or notification) without changing the payment classes themselves. This reduces coupling and increases modularity, making the system easier to maintain and extend.</w:t>
      </w:r>
      <w:r w:rsidRPr="00854101">
        <w:rPr>
          <w:rFonts w:ascii="Arial" w:hAnsi="Arial" w:cs="Arial"/>
        </w:rPr>
        <w:t>​</w:t>
      </w:r>
    </w:p>
    <w:p w14:paraId="43A34195" w14:textId="77777777" w:rsidR="00854101" w:rsidRPr="00854101" w:rsidRDefault="00854101" w:rsidP="00854101">
      <w:pPr>
        <w:rPr>
          <w:b/>
          <w:bCs/>
        </w:rPr>
      </w:pPr>
      <w:r w:rsidRPr="00854101">
        <w:rPr>
          <w:b/>
          <w:bCs/>
        </w:rPr>
        <w:t>4. Extending Refund Support: Interface vs Inheritance vs Composition</w:t>
      </w:r>
    </w:p>
    <w:p w14:paraId="6917BC6E" w14:textId="77777777" w:rsidR="00854101" w:rsidRPr="00854101" w:rsidRDefault="00854101" w:rsidP="00854101">
      <w:pPr>
        <w:numPr>
          <w:ilvl w:val="0"/>
          <w:numId w:val="4"/>
        </w:numPr>
      </w:pPr>
      <w:r w:rsidRPr="00854101">
        <w:rPr>
          <w:b/>
          <w:bCs/>
        </w:rPr>
        <w:t>Interface</w:t>
      </w:r>
      <w:r w:rsidRPr="00854101">
        <w:t>: You used a Refundable interface, which is the best approach here. Not all payment types may support refunds, and the refund logic may differ. By defining an interface, you allow only those payment classes that support refunds to implement the required method, without forcing all payment types to inherit refund logic. This keeps your code open for extension but closed for modification (Open/Closed Principle).</w:t>
      </w:r>
      <w:r w:rsidRPr="00854101">
        <w:rPr>
          <w:rFonts w:ascii="Arial" w:hAnsi="Arial" w:cs="Arial"/>
        </w:rPr>
        <w:t>​</w:t>
      </w:r>
    </w:p>
    <w:p w14:paraId="4EA4B6DB" w14:textId="77777777" w:rsidR="00854101" w:rsidRPr="00854101" w:rsidRDefault="00854101" w:rsidP="00854101">
      <w:pPr>
        <w:numPr>
          <w:ilvl w:val="0"/>
          <w:numId w:val="4"/>
        </w:numPr>
      </w:pPr>
      <w:r w:rsidRPr="00854101">
        <w:rPr>
          <w:b/>
          <w:bCs/>
        </w:rPr>
        <w:t>Inheritance</w:t>
      </w:r>
      <w:r w:rsidRPr="00854101">
        <w:t>: Would force all payment types to have refund logic, even if not applicable.</w:t>
      </w:r>
    </w:p>
    <w:p w14:paraId="2007C2CE" w14:textId="77777777" w:rsidR="00854101" w:rsidRPr="00854101" w:rsidRDefault="00854101" w:rsidP="00854101">
      <w:pPr>
        <w:numPr>
          <w:ilvl w:val="0"/>
          <w:numId w:val="4"/>
        </w:numPr>
      </w:pPr>
      <w:r w:rsidRPr="00854101">
        <w:rPr>
          <w:b/>
          <w:bCs/>
        </w:rPr>
        <w:lastRenderedPageBreak/>
        <w:t>Composition</w:t>
      </w:r>
      <w:r w:rsidRPr="00854101">
        <w:t>: Could be used if refund logic is handled by a separate service, but for simple cases, interfaces are more flexible.</w:t>
      </w:r>
    </w:p>
    <w:p w14:paraId="64C92B1B" w14:textId="77777777" w:rsidR="00854101" w:rsidRPr="00854101" w:rsidRDefault="00854101" w:rsidP="00854101">
      <w:pPr>
        <w:rPr>
          <w:b/>
          <w:bCs/>
        </w:rPr>
      </w:pPr>
      <w:r w:rsidRPr="00854101">
        <w:rPr>
          <w:b/>
          <w:bCs/>
        </w:rPr>
        <w:t>5. Extensibility</w:t>
      </w:r>
    </w:p>
    <w:p w14:paraId="14879596" w14:textId="77777777" w:rsidR="00854101" w:rsidRPr="00854101" w:rsidRDefault="00854101" w:rsidP="00854101">
      <w:pPr>
        <w:numPr>
          <w:ilvl w:val="0"/>
          <w:numId w:val="5"/>
        </w:numPr>
      </w:pPr>
      <w:r w:rsidRPr="00854101">
        <w:t>Your design supports adding new payment types (like </w:t>
      </w:r>
      <w:proofErr w:type="spellStart"/>
      <w:r w:rsidRPr="00854101">
        <w:t>InstallmentPayment</w:t>
      </w:r>
      <w:proofErr w:type="spellEnd"/>
      <w:r w:rsidRPr="00854101">
        <w:t> or </w:t>
      </w:r>
      <w:proofErr w:type="spellStart"/>
      <w:r w:rsidRPr="00854101">
        <w:t>SplitPayment</w:t>
      </w:r>
      <w:proofErr w:type="spellEnd"/>
      <w:r w:rsidRPr="00854101">
        <w:t>) by simply creating new subclasses of Payment and, if needed, implementing Refundable. No changes to existing code are required, which is a key aspect of maintainable, scalable systems.</w:t>
      </w:r>
    </w:p>
    <w:p w14:paraId="67F362DE" w14:textId="0DA6A088" w:rsidR="00854101" w:rsidRDefault="00854101">
      <w:pPr>
        <w:rPr>
          <w:b/>
          <w:bCs/>
          <w:sz w:val="28"/>
          <w:szCs w:val="28"/>
        </w:rPr>
      </w:pPr>
      <w:r w:rsidRPr="00854101">
        <w:rPr>
          <w:b/>
          <w:bCs/>
          <w:sz w:val="28"/>
          <w:szCs w:val="28"/>
        </w:rPr>
        <w:t>Class Diagram:</w:t>
      </w:r>
    </w:p>
    <w:p w14:paraId="2B6899CC" w14:textId="5DB26132" w:rsidR="00854101" w:rsidRPr="00854101" w:rsidRDefault="00854101" w:rsidP="00854101">
      <w:pPr>
        <w:jc w:val="center"/>
        <w:rPr>
          <w:b/>
          <w:bCs/>
          <w:sz w:val="28"/>
          <w:szCs w:val="28"/>
        </w:rPr>
      </w:pPr>
      <w:r>
        <w:rPr>
          <w:b/>
          <w:bCs/>
          <w:noProof/>
          <w:sz w:val="28"/>
          <w:szCs w:val="28"/>
        </w:rPr>
        <w:drawing>
          <wp:inline distT="0" distB="0" distL="0" distR="0" wp14:anchorId="1F479228" wp14:editId="10558FD1">
            <wp:extent cx="4699000" cy="5994400"/>
            <wp:effectExtent l="0" t="0" r="0" b="0"/>
            <wp:docPr id="116079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98236" name="Picture 1160798236"/>
                    <pic:cNvPicPr/>
                  </pic:nvPicPr>
                  <pic:blipFill>
                    <a:blip r:embed="rId8">
                      <a:extLst>
                        <a:ext uri="{28A0092B-C50C-407E-A947-70E740481C1C}">
                          <a14:useLocalDpi xmlns:a14="http://schemas.microsoft.com/office/drawing/2010/main" val="0"/>
                        </a:ext>
                      </a:extLst>
                    </a:blip>
                    <a:stretch>
                      <a:fillRect/>
                    </a:stretch>
                  </pic:blipFill>
                  <pic:spPr>
                    <a:xfrm>
                      <a:off x="0" y="0"/>
                      <a:ext cx="4699000" cy="5994400"/>
                    </a:xfrm>
                    <a:prstGeom prst="rect">
                      <a:avLst/>
                    </a:prstGeom>
                  </pic:spPr>
                </pic:pic>
              </a:graphicData>
            </a:graphic>
          </wp:inline>
        </w:drawing>
      </w:r>
    </w:p>
    <w:sectPr w:rsidR="00854101" w:rsidRPr="00854101" w:rsidSect="0085410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F8D9B" w14:textId="77777777" w:rsidR="00140927" w:rsidRDefault="00140927" w:rsidP="00854101">
      <w:pPr>
        <w:spacing w:after="0" w:line="240" w:lineRule="auto"/>
      </w:pPr>
      <w:r>
        <w:separator/>
      </w:r>
    </w:p>
  </w:endnote>
  <w:endnote w:type="continuationSeparator" w:id="0">
    <w:p w14:paraId="25572AB0" w14:textId="77777777" w:rsidR="00140927" w:rsidRDefault="00140927" w:rsidP="0085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23CB" w14:textId="77777777" w:rsidR="00140927" w:rsidRDefault="00140927" w:rsidP="00854101">
      <w:pPr>
        <w:spacing w:after="0" w:line="240" w:lineRule="auto"/>
      </w:pPr>
      <w:r>
        <w:separator/>
      </w:r>
    </w:p>
  </w:footnote>
  <w:footnote w:type="continuationSeparator" w:id="0">
    <w:p w14:paraId="3C1C21CB" w14:textId="77777777" w:rsidR="00140927" w:rsidRDefault="00140927" w:rsidP="00854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213"/>
    <w:multiLevelType w:val="multilevel"/>
    <w:tmpl w:val="A03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E34E4"/>
    <w:multiLevelType w:val="multilevel"/>
    <w:tmpl w:val="79B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21592"/>
    <w:multiLevelType w:val="multilevel"/>
    <w:tmpl w:val="8CDE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8825B6"/>
    <w:multiLevelType w:val="multilevel"/>
    <w:tmpl w:val="EE9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D50D81"/>
    <w:multiLevelType w:val="multilevel"/>
    <w:tmpl w:val="6F3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F610A3"/>
    <w:multiLevelType w:val="multilevel"/>
    <w:tmpl w:val="0EECF984"/>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2260507">
    <w:abstractNumId w:val="4"/>
  </w:num>
  <w:num w:numId="2" w16cid:durableId="772940468">
    <w:abstractNumId w:val="2"/>
  </w:num>
  <w:num w:numId="3" w16cid:durableId="196239037">
    <w:abstractNumId w:val="1"/>
  </w:num>
  <w:num w:numId="4" w16cid:durableId="1391877706">
    <w:abstractNumId w:val="3"/>
  </w:num>
  <w:num w:numId="5" w16cid:durableId="306521409">
    <w:abstractNumId w:val="0"/>
  </w:num>
  <w:num w:numId="6" w16cid:durableId="1718510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01"/>
    <w:rsid w:val="001157F4"/>
    <w:rsid w:val="00140927"/>
    <w:rsid w:val="00252FDA"/>
    <w:rsid w:val="003000C5"/>
    <w:rsid w:val="00854101"/>
    <w:rsid w:val="00864F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B061"/>
  <w15:chartTrackingRefBased/>
  <w15:docId w15:val="{EA3A64E2-A6A4-B546-A627-6C02E0CD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101"/>
    <w:rPr>
      <w:rFonts w:eastAsiaTheme="majorEastAsia" w:cstheme="majorBidi"/>
      <w:color w:val="272727" w:themeColor="text1" w:themeTint="D8"/>
    </w:rPr>
  </w:style>
  <w:style w:type="paragraph" w:styleId="Title">
    <w:name w:val="Title"/>
    <w:basedOn w:val="Normal"/>
    <w:next w:val="Normal"/>
    <w:link w:val="TitleChar"/>
    <w:uiPriority w:val="10"/>
    <w:qFormat/>
    <w:rsid w:val="0085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101"/>
    <w:pPr>
      <w:spacing w:before="160"/>
      <w:jc w:val="center"/>
    </w:pPr>
    <w:rPr>
      <w:i/>
      <w:iCs/>
      <w:color w:val="404040" w:themeColor="text1" w:themeTint="BF"/>
    </w:rPr>
  </w:style>
  <w:style w:type="character" w:customStyle="1" w:styleId="QuoteChar">
    <w:name w:val="Quote Char"/>
    <w:basedOn w:val="DefaultParagraphFont"/>
    <w:link w:val="Quote"/>
    <w:uiPriority w:val="29"/>
    <w:rsid w:val="00854101"/>
    <w:rPr>
      <w:i/>
      <w:iCs/>
      <w:color w:val="404040" w:themeColor="text1" w:themeTint="BF"/>
    </w:rPr>
  </w:style>
  <w:style w:type="paragraph" w:styleId="ListParagraph">
    <w:name w:val="List Paragraph"/>
    <w:basedOn w:val="Normal"/>
    <w:uiPriority w:val="34"/>
    <w:qFormat/>
    <w:rsid w:val="00854101"/>
    <w:pPr>
      <w:ind w:left="720"/>
      <w:contextualSpacing/>
    </w:pPr>
  </w:style>
  <w:style w:type="character" w:styleId="IntenseEmphasis">
    <w:name w:val="Intense Emphasis"/>
    <w:basedOn w:val="DefaultParagraphFont"/>
    <w:uiPriority w:val="21"/>
    <w:qFormat/>
    <w:rsid w:val="00854101"/>
    <w:rPr>
      <w:i/>
      <w:iCs/>
      <w:color w:val="0F4761" w:themeColor="accent1" w:themeShade="BF"/>
    </w:rPr>
  </w:style>
  <w:style w:type="paragraph" w:styleId="IntenseQuote">
    <w:name w:val="Intense Quote"/>
    <w:basedOn w:val="Normal"/>
    <w:next w:val="Normal"/>
    <w:link w:val="IntenseQuoteChar"/>
    <w:uiPriority w:val="30"/>
    <w:qFormat/>
    <w:rsid w:val="0085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101"/>
    <w:rPr>
      <w:i/>
      <w:iCs/>
      <w:color w:val="0F4761" w:themeColor="accent1" w:themeShade="BF"/>
    </w:rPr>
  </w:style>
  <w:style w:type="character" w:styleId="IntenseReference">
    <w:name w:val="Intense Reference"/>
    <w:basedOn w:val="DefaultParagraphFont"/>
    <w:uiPriority w:val="32"/>
    <w:qFormat/>
    <w:rsid w:val="00854101"/>
    <w:rPr>
      <w:b/>
      <w:bCs/>
      <w:smallCaps/>
      <w:color w:val="0F4761" w:themeColor="accent1" w:themeShade="BF"/>
      <w:spacing w:val="5"/>
    </w:rPr>
  </w:style>
  <w:style w:type="paragraph" w:customStyle="1" w:styleId="Photo">
    <w:name w:val="Photo"/>
    <w:basedOn w:val="Normal"/>
    <w:uiPriority w:val="1"/>
    <w:rsid w:val="00854101"/>
    <w:pPr>
      <w:spacing w:after="0" w:line="240" w:lineRule="auto"/>
      <w:jc w:val="center"/>
    </w:pPr>
    <w:rPr>
      <w:rFonts w:eastAsiaTheme="minorEastAsia"/>
      <w:kern w:val="0"/>
      <w:sz w:val="21"/>
      <w:szCs w:val="21"/>
      <w14:ligatures w14:val="none"/>
    </w:rPr>
  </w:style>
  <w:style w:type="character" w:customStyle="1" w:styleId="wacimagecontainer">
    <w:name w:val="wacimagecontainer"/>
    <w:basedOn w:val="DefaultParagraphFont"/>
    <w:rsid w:val="00854101"/>
  </w:style>
  <w:style w:type="table" w:styleId="PlainTable2">
    <w:name w:val="Plain Table 2"/>
    <w:basedOn w:val="TableNormal"/>
    <w:uiPriority w:val="42"/>
    <w:rsid w:val="00854101"/>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5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101"/>
  </w:style>
  <w:style w:type="paragraph" w:styleId="Footer">
    <w:name w:val="footer"/>
    <w:basedOn w:val="Normal"/>
    <w:link w:val="FooterChar"/>
    <w:uiPriority w:val="99"/>
    <w:unhideWhenUsed/>
    <w:rsid w:val="0085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2025-10-22T11:30:00Z</dcterms:created>
  <dcterms:modified xsi:type="dcterms:W3CDTF">2025-10-22T11:33:00Z</dcterms:modified>
</cp:coreProperties>
</file>